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AD" w:rsidRDefault="00F539AD">
      <w:pPr>
        <w:jc w:val="both"/>
      </w:pPr>
    </w:p>
    <w:p w:rsidR="00F539AD" w:rsidRDefault="00415CD3" w:rsidP="00827514">
      <w:pPr>
        <w:ind w:left="6"/>
        <w:jc w:val="center"/>
        <w:rPr>
          <w:rFonts w:ascii="Arial" w:eastAsia="Arial" w:hAnsi="Arial" w:cs="Arial"/>
          <w:b/>
          <w:bCs/>
          <w:sz w:val="20"/>
          <w:szCs w:val="20"/>
          <w:u w:val="single"/>
        </w:rPr>
      </w:pPr>
      <w:r>
        <w:rPr>
          <w:rFonts w:ascii="Arial" w:eastAsia="Arial" w:hAnsi="Arial" w:cs="Arial"/>
          <w:b/>
          <w:bCs/>
          <w:sz w:val="20"/>
          <w:szCs w:val="20"/>
          <w:u w:val="single"/>
        </w:rPr>
        <w:t xml:space="preserve">BANDO </w:t>
      </w:r>
      <w:proofErr w:type="spellStart"/>
      <w:r>
        <w:rPr>
          <w:rFonts w:ascii="Arial" w:eastAsia="Arial" w:hAnsi="Arial" w:cs="Arial"/>
          <w:b/>
          <w:bCs/>
          <w:sz w:val="20"/>
          <w:szCs w:val="20"/>
          <w:u w:val="single"/>
        </w:rPr>
        <w:t>ERASMUS+</w:t>
      </w:r>
      <w:proofErr w:type="spellEnd"/>
      <w:r>
        <w:rPr>
          <w:rFonts w:ascii="Arial" w:eastAsia="Arial" w:hAnsi="Arial" w:cs="Arial"/>
          <w:b/>
          <w:bCs/>
          <w:sz w:val="20"/>
          <w:szCs w:val="20"/>
          <w:u w:val="single"/>
        </w:rPr>
        <w:t xml:space="preserve"> PER MOBILITÀ STUDENTI</w:t>
      </w:r>
    </w:p>
    <w:p w:rsidR="00827514" w:rsidRDefault="00827514" w:rsidP="00827514">
      <w:pPr>
        <w:tabs>
          <w:tab w:val="left" w:pos="10204"/>
        </w:tabs>
        <w:spacing w:line="232" w:lineRule="auto"/>
        <w:ind w:left="7"/>
        <w:jc w:val="center"/>
        <w:rPr>
          <w:rFonts w:ascii="Arial" w:eastAsia="Arial" w:hAnsi="Arial" w:cs="Arial"/>
          <w:b/>
          <w:bCs/>
          <w:sz w:val="20"/>
          <w:szCs w:val="20"/>
          <w:u w:val="single"/>
        </w:rPr>
      </w:pPr>
      <w:r>
        <w:rPr>
          <w:rFonts w:ascii="Arial" w:eastAsia="Arial" w:hAnsi="Arial" w:cs="Arial"/>
          <w:b/>
          <w:bCs/>
          <w:sz w:val="20"/>
          <w:szCs w:val="20"/>
          <w:u w:val="single"/>
        </w:rPr>
        <w:t>CALL 2024 – Progetto n. 2024-1-IT02-KA131-HED-000219240</w:t>
      </w:r>
    </w:p>
    <w:p w:rsidR="00827514" w:rsidRDefault="00827514" w:rsidP="00827514">
      <w:pPr>
        <w:jc w:val="both"/>
      </w:pPr>
    </w:p>
    <w:p w:rsidR="00827514" w:rsidRPr="00827514" w:rsidRDefault="00415CD3" w:rsidP="00827514">
      <w:pPr>
        <w:numPr>
          <w:ilvl w:val="0"/>
          <w:numId w:val="1"/>
        </w:numPr>
        <w:tabs>
          <w:tab w:val="left" w:pos="216"/>
        </w:tabs>
        <w:spacing w:line="242" w:lineRule="auto"/>
        <w:ind w:left="6" w:hanging="6"/>
        <w:jc w:val="both"/>
      </w:pPr>
      <w:r>
        <w:rPr>
          <w:rFonts w:ascii="Arial" w:eastAsia="Arial" w:hAnsi="Arial" w:cs="Arial"/>
          <w:sz w:val="20"/>
          <w:szCs w:val="20"/>
        </w:rPr>
        <w:t xml:space="preserve">indetto il Bando </w:t>
      </w:r>
      <w:proofErr w:type="spellStart"/>
      <w:r>
        <w:rPr>
          <w:rFonts w:ascii="Arial" w:eastAsia="Arial" w:hAnsi="Arial" w:cs="Arial"/>
          <w:sz w:val="20"/>
          <w:szCs w:val="20"/>
        </w:rPr>
        <w:t>Erasmus+</w:t>
      </w:r>
      <w:proofErr w:type="spellEnd"/>
      <w:r>
        <w:rPr>
          <w:rFonts w:ascii="Arial" w:eastAsia="Arial" w:hAnsi="Arial" w:cs="Arial"/>
          <w:sz w:val="20"/>
          <w:szCs w:val="20"/>
        </w:rPr>
        <w:t xml:space="preserve"> per svolgere un periodo di mobilità di studio durante l’A.A. </w:t>
      </w:r>
      <w:r w:rsidR="00827514">
        <w:rPr>
          <w:rFonts w:ascii="Arial" w:eastAsia="Arial" w:hAnsi="Arial" w:cs="Arial"/>
          <w:sz w:val="20"/>
          <w:szCs w:val="20"/>
        </w:rPr>
        <w:t>2024-2025-2026</w:t>
      </w:r>
      <w:r>
        <w:rPr>
          <w:rFonts w:ascii="Arial" w:eastAsia="Arial" w:hAnsi="Arial" w:cs="Arial"/>
          <w:sz w:val="20"/>
          <w:szCs w:val="20"/>
        </w:rPr>
        <w:t xml:space="preserve"> da svolgersi dal </w:t>
      </w:r>
      <w:r w:rsidR="008D7C43">
        <w:rPr>
          <w:rFonts w:ascii="Arial" w:eastAsia="Arial" w:hAnsi="Arial" w:cs="Arial"/>
          <w:b/>
          <w:sz w:val="20"/>
          <w:szCs w:val="20"/>
        </w:rPr>
        <w:t>SECONDO SEMESTRE A.A.</w:t>
      </w:r>
      <w:r w:rsidRPr="00827514">
        <w:rPr>
          <w:rFonts w:ascii="Arial" w:eastAsia="Arial" w:hAnsi="Arial" w:cs="Arial"/>
          <w:b/>
          <w:sz w:val="20"/>
          <w:szCs w:val="20"/>
        </w:rPr>
        <w:t xml:space="preserve"> 202</w:t>
      </w:r>
      <w:r w:rsidR="00827514" w:rsidRPr="00827514">
        <w:rPr>
          <w:rFonts w:ascii="Arial" w:eastAsia="Arial" w:hAnsi="Arial" w:cs="Arial"/>
          <w:b/>
          <w:sz w:val="20"/>
          <w:szCs w:val="20"/>
        </w:rPr>
        <w:t>4</w:t>
      </w:r>
      <w:r w:rsidR="008D7C43">
        <w:rPr>
          <w:rFonts w:ascii="Arial" w:eastAsia="Arial" w:hAnsi="Arial" w:cs="Arial"/>
          <w:b/>
          <w:sz w:val="20"/>
          <w:szCs w:val="20"/>
        </w:rPr>
        <w:t>-2025 fino</w:t>
      </w:r>
      <w:r w:rsidRPr="00827514">
        <w:rPr>
          <w:rFonts w:ascii="Arial" w:eastAsia="Arial" w:hAnsi="Arial" w:cs="Arial"/>
          <w:b/>
          <w:sz w:val="20"/>
          <w:szCs w:val="20"/>
        </w:rPr>
        <w:t xml:space="preserve"> al 31 LUGLIO 202</w:t>
      </w:r>
      <w:r w:rsidR="00827514" w:rsidRPr="00827514">
        <w:rPr>
          <w:rFonts w:ascii="Arial" w:eastAsia="Arial" w:hAnsi="Arial" w:cs="Arial"/>
          <w:b/>
          <w:sz w:val="20"/>
          <w:szCs w:val="20"/>
        </w:rPr>
        <w:t>6</w:t>
      </w:r>
      <w:r>
        <w:rPr>
          <w:rFonts w:ascii="Arial" w:eastAsia="Arial" w:hAnsi="Arial" w:cs="Arial"/>
          <w:sz w:val="20"/>
          <w:szCs w:val="20"/>
        </w:rPr>
        <w:t>. Il presente bando e l'avvio dei periodi di Mobilità Studenti sono vincolati all'Attribuzione Fondi Azione Chiave KA131-HED “</w:t>
      </w:r>
      <w:proofErr w:type="spellStart"/>
      <w:r w:rsidRPr="00827514">
        <w:rPr>
          <w:rFonts w:ascii="Arial" w:eastAsia="Arial" w:hAnsi="Arial" w:cs="Arial"/>
          <w:sz w:val="20"/>
          <w:szCs w:val="20"/>
        </w:rPr>
        <w:t>Mobility</w:t>
      </w:r>
      <w:proofErr w:type="spellEnd"/>
      <w:r w:rsidRPr="00827514">
        <w:rPr>
          <w:rFonts w:ascii="Arial" w:eastAsia="Arial" w:hAnsi="Arial" w:cs="Arial"/>
          <w:sz w:val="20"/>
          <w:szCs w:val="20"/>
        </w:rPr>
        <w:t xml:space="preserve"> </w:t>
      </w:r>
      <w:proofErr w:type="spellStart"/>
      <w:r w:rsidRPr="00827514">
        <w:rPr>
          <w:rFonts w:ascii="Arial" w:eastAsia="Arial" w:hAnsi="Arial" w:cs="Arial"/>
          <w:sz w:val="20"/>
          <w:szCs w:val="20"/>
        </w:rPr>
        <w:t>of</w:t>
      </w:r>
      <w:proofErr w:type="spellEnd"/>
      <w:r w:rsidRPr="00827514">
        <w:rPr>
          <w:rFonts w:ascii="Arial" w:eastAsia="Arial" w:hAnsi="Arial" w:cs="Arial"/>
          <w:sz w:val="20"/>
          <w:szCs w:val="20"/>
        </w:rPr>
        <w:t xml:space="preserve"> </w:t>
      </w:r>
      <w:proofErr w:type="spellStart"/>
      <w:r w:rsidRPr="00827514">
        <w:rPr>
          <w:rFonts w:ascii="Arial" w:eastAsia="Arial" w:hAnsi="Arial" w:cs="Arial"/>
          <w:sz w:val="20"/>
          <w:szCs w:val="20"/>
        </w:rPr>
        <w:t>higher</w:t>
      </w:r>
      <w:proofErr w:type="spellEnd"/>
      <w:r w:rsidRPr="00827514">
        <w:rPr>
          <w:rFonts w:ascii="Arial" w:eastAsia="Arial" w:hAnsi="Arial" w:cs="Arial"/>
          <w:sz w:val="20"/>
          <w:szCs w:val="20"/>
        </w:rPr>
        <w:t xml:space="preserve"> </w:t>
      </w:r>
      <w:proofErr w:type="spellStart"/>
      <w:r w:rsidRPr="00827514">
        <w:rPr>
          <w:rFonts w:ascii="Arial" w:eastAsia="Arial" w:hAnsi="Arial" w:cs="Arial"/>
          <w:sz w:val="20"/>
          <w:szCs w:val="20"/>
        </w:rPr>
        <w:t>education</w:t>
      </w:r>
      <w:proofErr w:type="spellEnd"/>
      <w:r w:rsidRPr="00827514">
        <w:rPr>
          <w:rFonts w:ascii="Arial" w:eastAsia="Arial" w:hAnsi="Arial" w:cs="Arial"/>
          <w:sz w:val="20"/>
          <w:szCs w:val="20"/>
        </w:rPr>
        <w:t xml:space="preserve"> </w:t>
      </w:r>
      <w:proofErr w:type="spellStart"/>
      <w:r w:rsidRPr="00827514">
        <w:rPr>
          <w:rFonts w:ascii="Arial" w:eastAsia="Arial" w:hAnsi="Arial" w:cs="Arial"/>
          <w:sz w:val="20"/>
          <w:szCs w:val="20"/>
        </w:rPr>
        <w:t>students</w:t>
      </w:r>
      <w:proofErr w:type="spellEnd"/>
      <w:r w:rsidRPr="00827514">
        <w:rPr>
          <w:rFonts w:ascii="Arial" w:eastAsia="Arial" w:hAnsi="Arial" w:cs="Arial"/>
          <w:sz w:val="20"/>
          <w:szCs w:val="20"/>
        </w:rPr>
        <w:t xml:space="preserve"> and staff </w:t>
      </w:r>
      <w:proofErr w:type="spellStart"/>
      <w:r w:rsidRPr="00827514">
        <w:rPr>
          <w:rFonts w:ascii="Arial" w:eastAsia="Arial" w:hAnsi="Arial" w:cs="Arial"/>
          <w:sz w:val="20"/>
          <w:szCs w:val="20"/>
        </w:rPr>
        <w:t>supported</w:t>
      </w:r>
      <w:proofErr w:type="spellEnd"/>
      <w:r w:rsidRPr="00827514">
        <w:rPr>
          <w:rFonts w:ascii="Arial" w:eastAsia="Arial" w:hAnsi="Arial" w:cs="Arial"/>
          <w:sz w:val="20"/>
          <w:szCs w:val="20"/>
        </w:rPr>
        <w:t xml:space="preserve"> </w:t>
      </w:r>
      <w:proofErr w:type="spellStart"/>
      <w:r w:rsidRPr="00827514">
        <w:rPr>
          <w:rFonts w:ascii="Arial" w:eastAsia="Arial" w:hAnsi="Arial" w:cs="Arial"/>
          <w:sz w:val="20"/>
          <w:szCs w:val="20"/>
        </w:rPr>
        <w:t>by</w:t>
      </w:r>
      <w:proofErr w:type="spellEnd"/>
      <w:r w:rsidRPr="00827514">
        <w:rPr>
          <w:rFonts w:ascii="Arial" w:eastAsia="Arial" w:hAnsi="Arial" w:cs="Arial"/>
          <w:sz w:val="20"/>
          <w:szCs w:val="20"/>
        </w:rPr>
        <w:t xml:space="preserve"> </w:t>
      </w:r>
      <w:proofErr w:type="spellStart"/>
      <w:r w:rsidRPr="00827514">
        <w:rPr>
          <w:rFonts w:ascii="Arial" w:eastAsia="Arial" w:hAnsi="Arial" w:cs="Arial"/>
          <w:sz w:val="20"/>
          <w:szCs w:val="20"/>
        </w:rPr>
        <w:t>internal</w:t>
      </w:r>
      <w:proofErr w:type="spellEnd"/>
      <w:r w:rsidRPr="00827514">
        <w:rPr>
          <w:rFonts w:ascii="Arial" w:eastAsia="Arial" w:hAnsi="Arial" w:cs="Arial"/>
          <w:sz w:val="20"/>
          <w:szCs w:val="20"/>
        </w:rPr>
        <w:t xml:space="preserve"> policy </w:t>
      </w:r>
      <w:proofErr w:type="spellStart"/>
      <w:r w:rsidRPr="00827514">
        <w:rPr>
          <w:rFonts w:ascii="Arial" w:eastAsia="Arial" w:hAnsi="Arial" w:cs="Arial"/>
          <w:sz w:val="20"/>
          <w:szCs w:val="20"/>
        </w:rPr>
        <w:t>funds</w:t>
      </w:r>
      <w:proofErr w:type="spellEnd"/>
      <w:r>
        <w:rPr>
          <w:rFonts w:ascii="Arial" w:eastAsia="Arial" w:hAnsi="Arial" w:cs="Arial"/>
          <w:sz w:val="20"/>
          <w:szCs w:val="20"/>
        </w:rPr>
        <w:t>” da parte della Commissione Europea e alla stipula della relativa Convenzione.</w:t>
      </w:r>
    </w:p>
    <w:p w:rsidR="00827514" w:rsidRPr="00827514" w:rsidRDefault="00827514" w:rsidP="00827514">
      <w:pPr>
        <w:tabs>
          <w:tab w:val="left" w:pos="216"/>
        </w:tabs>
        <w:spacing w:line="242" w:lineRule="auto"/>
        <w:ind w:left="6"/>
        <w:jc w:val="both"/>
        <w:rPr>
          <w:rFonts w:ascii="Arial" w:eastAsia="Arial" w:hAnsi="Arial" w:cs="Arial"/>
          <w:b/>
          <w:sz w:val="20"/>
          <w:szCs w:val="20"/>
          <w:u w:val="single"/>
        </w:rPr>
      </w:pPr>
      <w:r w:rsidRPr="00827514">
        <w:rPr>
          <w:rFonts w:ascii="Arial" w:eastAsia="Arial" w:hAnsi="Arial" w:cs="Arial"/>
          <w:b/>
          <w:sz w:val="20"/>
          <w:szCs w:val="20"/>
          <w:u w:val="single"/>
        </w:rPr>
        <w:t xml:space="preserve">IL PRESENTE BANDO RIMANE ATTIVO FINO AD ESAURIMENTO FONDI DISPONIBILI PER LA SEZIONE MOBILITA’ </w:t>
      </w:r>
      <w:r>
        <w:rPr>
          <w:rFonts w:ascii="Arial" w:eastAsia="Arial" w:hAnsi="Arial" w:cs="Arial"/>
          <w:b/>
          <w:sz w:val="20"/>
          <w:szCs w:val="20"/>
          <w:u w:val="single"/>
        </w:rPr>
        <w:t>STUDENTI PER STUDIO/ TIROCINIO</w:t>
      </w:r>
      <w:r w:rsidRPr="00827514">
        <w:rPr>
          <w:rFonts w:ascii="Arial" w:eastAsia="Arial" w:hAnsi="Arial" w:cs="Arial"/>
          <w:b/>
          <w:sz w:val="20"/>
          <w:szCs w:val="20"/>
          <w:u w:val="single"/>
        </w:rPr>
        <w:t>.</w:t>
      </w:r>
    </w:p>
    <w:p w:rsidR="00F539AD" w:rsidRDefault="00415CD3">
      <w:pPr>
        <w:ind w:left="6"/>
        <w:jc w:val="both"/>
      </w:pPr>
      <w:r>
        <w:rPr>
          <w:rFonts w:ascii="Arial" w:eastAsia="Arial" w:hAnsi="Arial" w:cs="Arial"/>
          <w:b/>
          <w:bCs/>
          <w:sz w:val="20"/>
          <w:szCs w:val="20"/>
          <w:u w:val="single"/>
        </w:rPr>
        <w:t xml:space="preserve">INFORMAZIONI GENERALI SULLA MOBILITÀ </w:t>
      </w:r>
      <w:proofErr w:type="spellStart"/>
      <w:r>
        <w:rPr>
          <w:rFonts w:ascii="Arial" w:eastAsia="Arial" w:hAnsi="Arial" w:cs="Arial"/>
          <w:b/>
          <w:bCs/>
          <w:sz w:val="20"/>
          <w:szCs w:val="20"/>
          <w:u w:val="single"/>
        </w:rPr>
        <w:t>ERASMUS+</w:t>
      </w:r>
      <w:proofErr w:type="spellEnd"/>
    </w:p>
    <w:p w:rsidR="00F539AD" w:rsidRDefault="00415CD3">
      <w:pPr>
        <w:spacing w:line="247" w:lineRule="auto"/>
        <w:jc w:val="both"/>
      </w:pPr>
      <w:r>
        <w:rPr>
          <w:rFonts w:ascii="Arial" w:eastAsia="Arial" w:hAnsi="Arial" w:cs="Arial"/>
          <w:sz w:val="20"/>
          <w:szCs w:val="20"/>
        </w:rPr>
        <w:t xml:space="preserve">Il Programma </w:t>
      </w:r>
      <w:proofErr w:type="spellStart"/>
      <w:r>
        <w:rPr>
          <w:rFonts w:ascii="Arial" w:eastAsia="Arial" w:hAnsi="Arial" w:cs="Arial"/>
          <w:sz w:val="20"/>
          <w:szCs w:val="20"/>
        </w:rPr>
        <w:t>Erasmus+</w:t>
      </w:r>
      <w:proofErr w:type="spellEnd"/>
      <w:r>
        <w:rPr>
          <w:rFonts w:ascii="Arial" w:eastAsia="Arial" w:hAnsi="Arial" w:cs="Arial"/>
          <w:sz w:val="20"/>
          <w:szCs w:val="20"/>
        </w:rPr>
        <w:t>, il programma promosso dalla Commissione Europea per il settennio 2021-2027, permette agli studenti regolarmente iscritti al Politecnico arti di Bergamo di trascorrere un periodo di studio all’estero presso un Istituto-Partner ricevendo un contributo comunitario.</w:t>
      </w:r>
    </w:p>
    <w:p w:rsidR="00F539AD" w:rsidRDefault="00F539AD">
      <w:pPr>
        <w:spacing w:line="1" w:lineRule="exact"/>
        <w:jc w:val="both"/>
        <w:rPr>
          <w:sz w:val="24"/>
          <w:szCs w:val="24"/>
        </w:rPr>
      </w:pPr>
    </w:p>
    <w:p w:rsidR="00F539AD" w:rsidRDefault="00415CD3">
      <w:pPr>
        <w:ind w:left="6"/>
        <w:jc w:val="both"/>
      </w:pPr>
      <w:r>
        <w:rPr>
          <w:rFonts w:ascii="Arial" w:eastAsia="Arial" w:hAnsi="Arial" w:cs="Arial"/>
          <w:sz w:val="20"/>
          <w:szCs w:val="20"/>
        </w:rPr>
        <w:t>Gli studenti ammessi all'</w:t>
      </w:r>
      <w:proofErr w:type="spellStart"/>
      <w:r>
        <w:rPr>
          <w:rFonts w:ascii="Arial" w:eastAsia="Arial" w:hAnsi="Arial" w:cs="Arial"/>
          <w:sz w:val="20"/>
          <w:szCs w:val="20"/>
        </w:rPr>
        <w:t>Erasmus+</w:t>
      </w:r>
      <w:proofErr w:type="spellEnd"/>
      <w:r>
        <w:rPr>
          <w:rFonts w:ascii="Arial" w:eastAsia="Arial" w:hAnsi="Arial" w:cs="Arial"/>
          <w:sz w:val="20"/>
          <w:szCs w:val="20"/>
        </w:rPr>
        <w:t xml:space="preserve"> avranno la possibilità di seguire corsi e di usufruire delle strutture disponibili presso l'istituto ospitante senza ulteriori tasse di iscrizione, con la garanzia del riconoscimento del periodo di studio tramite il trasferimento dei rispettivi crediti (con il supporto dell’ECTS - </w:t>
      </w:r>
      <w:proofErr w:type="spellStart"/>
      <w:r>
        <w:rPr>
          <w:rFonts w:ascii="Arial" w:eastAsia="Arial" w:hAnsi="Arial" w:cs="Arial"/>
          <w:sz w:val="20"/>
          <w:szCs w:val="20"/>
        </w:rPr>
        <w:t>European</w:t>
      </w:r>
      <w:proofErr w:type="spellEnd"/>
      <w:r>
        <w:rPr>
          <w:rFonts w:ascii="Arial" w:eastAsia="Arial" w:hAnsi="Arial" w:cs="Arial"/>
          <w:sz w:val="20"/>
          <w:szCs w:val="20"/>
        </w:rPr>
        <w:t xml:space="preserve"> </w:t>
      </w:r>
      <w:proofErr w:type="spellStart"/>
      <w:r>
        <w:rPr>
          <w:rFonts w:ascii="Arial" w:eastAsia="Arial" w:hAnsi="Arial" w:cs="Arial"/>
          <w:sz w:val="20"/>
          <w:szCs w:val="20"/>
        </w:rPr>
        <w:t>Credit</w:t>
      </w:r>
      <w:proofErr w:type="spellEnd"/>
      <w:r>
        <w:rPr>
          <w:rFonts w:ascii="Arial" w:eastAsia="Arial" w:hAnsi="Arial" w:cs="Arial"/>
          <w:sz w:val="20"/>
          <w:szCs w:val="20"/>
        </w:rPr>
        <w:t xml:space="preserve"> Transfer System - o di un altro sistema di crediti compatibile).</w:t>
      </w:r>
    </w:p>
    <w:p w:rsidR="00F539AD" w:rsidRDefault="00415CD3">
      <w:pPr>
        <w:spacing w:line="247" w:lineRule="auto"/>
        <w:ind w:left="6"/>
        <w:jc w:val="both"/>
      </w:pPr>
      <w:r>
        <w:rPr>
          <w:rFonts w:ascii="Arial" w:eastAsia="Arial" w:hAnsi="Arial" w:cs="Arial"/>
          <w:sz w:val="20"/>
          <w:szCs w:val="20"/>
        </w:rPr>
        <w:t xml:space="preserve">Il Programma </w:t>
      </w:r>
      <w:proofErr w:type="spellStart"/>
      <w:r>
        <w:rPr>
          <w:rFonts w:ascii="Arial" w:eastAsia="Arial" w:hAnsi="Arial" w:cs="Arial"/>
          <w:sz w:val="20"/>
          <w:szCs w:val="20"/>
        </w:rPr>
        <w:t>Erasmus+</w:t>
      </w:r>
      <w:proofErr w:type="spellEnd"/>
      <w:r>
        <w:rPr>
          <w:rFonts w:ascii="Arial" w:eastAsia="Arial" w:hAnsi="Arial" w:cs="Arial"/>
          <w:sz w:val="20"/>
          <w:szCs w:val="20"/>
        </w:rPr>
        <w:t xml:space="preserve"> consente di vivere l’esperienza di un’altra cultura, di conoscere nuovi sistemi di istruzione superiore, di perfezionare la propria conoscenza di almeno un'altra lingua e di incontrare giovani di altri Paesi, aprendo il proprio percorso di studio e lavoro ad una prospettiva internazionale. Possono partecipare al bando tutti gli studenti di ogni livello (italiani, stranieri UE/extra UE) regolarmente iscritti al Politecnico delle arti di Bergamo.</w:t>
      </w:r>
    </w:p>
    <w:p w:rsidR="00F539AD" w:rsidRDefault="00415CD3">
      <w:pPr>
        <w:ind w:left="6"/>
        <w:jc w:val="both"/>
      </w:pPr>
      <w:r>
        <w:rPr>
          <w:rFonts w:ascii="Arial" w:eastAsia="Arial" w:hAnsi="Arial" w:cs="Arial"/>
          <w:b/>
          <w:bCs/>
          <w:sz w:val="20"/>
          <w:szCs w:val="20"/>
          <w:u w:val="single"/>
        </w:rPr>
        <w:t>DURATA MOBILITA'</w:t>
      </w:r>
    </w:p>
    <w:p w:rsidR="00F539AD" w:rsidRDefault="00415CD3">
      <w:pPr>
        <w:spacing w:line="252" w:lineRule="auto"/>
        <w:ind w:left="6"/>
        <w:jc w:val="both"/>
      </w:pPr>
      <w:r>
        <w:rPr>
          <w:rFonts w:ascii="Arial" w:eastAsia="Arial" w:hAnsi="Arial" w:cs="Arial"/>
          <w:sz w:val="20"/>
          <w:szCs w:val="20"/>
        </w:rPr>
        <w:t>La durata complessiva dei soggiorni all’estero può raggiungere, per ogni ciclo di studio, un massimo di 12 mesi.</w:t>
      </w:r>
    </w:p>
    <w:p w:rsidR="00F539AD" w:rsidRDefault="00415CD3">
      <w:pPr>
        <w:spacing w:line="252" w:lineRule="auto"/>
        <w:ind w:left="6"/>
        <w:jc w:val="both"/>
      </w:pPr>
      <w:r>
        <w:rPr>
          <w:rFonts w:ascii="Arial" w:eastAsia="Arial" w:hAnsi="Arial" w:cs="Arial"/>
          <w:sz w:val="20"/>
          <w:szCs w:val="20"/>
        </w:rPr>
        <w:t>La mobilità di studio va da un minimo di 3 ad un massimo di 12 mesi.</w:t>
      </w:r>
    </w:p>
    <w:p w:rsidR="00F539AD" w:rsidRDefault="00415CD3">
      <w:pPr>
        <w:ind w:left="6"/>
        <w:jc w:val="both"/>
      </w:pPr>
      <w:r>
        <w:rPr>
          <w:rFonts w:ascii="Arial" w:eastAsia="Arial" w:hAnsi="Arial" w:cs="Arial"/>
          <w:b/>
          <w:bCs/>
          <w:sz w:val="20"/>
          <w:szCs w:val="20"/>
          <w:u w:val="single"/>
        </w:rPr>
        <w:t>OTTENIMENTO DEI CREDITI E LEARNING AGREEMENT</w:t>
      </w:r>
    </w:p>
    <w:p w:rsidR="00F539AD" w:rsidRDefault="00415CD3">
      <w:pPr>
        <w:spacing w:line="247" w:lineRule="auto"/>
        <w:ind w:left="6"/>
        <w:jc w:val="both"/>
      </w:pPr>
      <w:r>
        <w:rPr>
          <w:rFonts w:ascii="Arial" w:eastAsia="Arial" w:hAnsi="Arial" w:cs="Arial"/>
          <w:sz w:val="20"/>
          <w:szCs w:val="20"/>
        </w:rPr>
        <w:t>Il numero dei crediti da ottenere durante il periodo di mobilità deve corrispondere orientativamente a quello che lo studente avrebbe acquisito nello stesso periodo di tempo presso il Politecnico delle arti di Bergamo (ad es. 60 CFA in un anno, 30 CFA a semestre).</w:t>
      </w:r>
    </w:p>
    <w:p w:rsidR="00F539AD" w:rsidRDefault="00415CD3">
      <w:pPr>
        <w:spacing w:line="252" w:lineRule="auto"/>
        <w:ind w:left="6"/>
        <w:jc w:val="both"/>
      </w:pPr>
      <w:r>
        <w:rPr>
          <w:rFonts w:ascii="Arial" w:eastAsia="Arial" w:hAnsi="Arial" w:cs="Arial"/>
          <w:sz w:val="20"/>
          <w:szCs w:val="20"/>
        </w:rPr>
        <w:t xml:space="preserve">Prima della partenza ogni studente </w:t>
      </w:r>
      <w:proofErr w:type="spellStart"/>
      <w:r>
        <w:rPr>
          <w:rFonts w:ascii="Arial" w:eastAsia="Arial" w:hAnsi="Arial" w:cs="Arial"/>
          <w:sz w:val="20"/>
          <w:szCs w:val="20"/>
        </w:rPr>
        <w:t>Erasmus+</w:t>
      </w:r>
      <w:proofErr w:type="spellEnd"/>
      <w:r>
        <w:rPr>
          <w:rFonts w:ascii="Arial" w:eastAsia="Arial" w:hAnsi="Arial" w:cs="Arial"/>
          <w:sz w:val="20"/>
          <w:szCs w:val="20"/>
        </w:rPr>
        <w:t xml:space="preserve"> dovrà essere in possesso del piano di studio (</w:t>
      </w:r>
      <w:proofErr w:type="spellStart"/>
      <w:r>
        <w:rPr>
          <w:rFonts w:ascii="Arial" w:eastAsia="Arial" w:hAnsi="Arial" w:cs="Arial"/>
          <w:sz w:val="20"/>
          <w:szCs w:val="20"/>
        </w:rPr>
        <w:t>Learning</w:t>
      </w:r>
      <w:proofErr w:type="spellEnd"/>
      <w:r>
        <w:rPr>
          <w:rFonts w:ascii="Arial" w:eastAsia="Arial" w:hAnsi="Arial" w:cs="Arial"/>
          <w:sz w:val="20"/>
          <w:szCs w:val="20"/>
        </w:rPr>
        <w:t xml:space="preserve"> Agreement) da seguire all’estero, approvato sia dal Politecnico che dall’Istituto ospitante, da quest’anno tutta la documentazione sarà gestita attraverso il portale “</w:t>
      </w:r>
      <w:proofErr w:type="spellStart"/>
      <w:r>
        <w:rPr>
          <w:rFonts w:ascii="Arial" w:eastAsia="Arial" w:hAnsi="Arial" w:cs="Arial"/>
          <w:sz w:val="20"/>
          <w:szCs w:val="20"/>
        </w:rPr>
        <w:t>without</w:t>
      </w:r>
      <w:proofErr w:type="spellEnd"/>
      <w:r>
        <w:rPr>
          <w:rFonts w:ascii="Arial" w:eastAsia="Arial" w:hAnsi="Arial" w:cs="Arial"/>
          <w:sz w:val="20"/>
          <w:szCs w:val="20"/>
        </w:rPr>
        <w:t xml:space="preserve"> </w:t>
      </w:r>
      <w:proofErr w:type="spellStart"/>
      <w:r>
        <w:rPr>
          <w:rFonts w:ascii="Arial" w:eastAsia="Arial" w:hAnsi="Arial" w:cs="Arial"/>
          <w:sz w:val="20"/>
          <w:szCs w:val="20"/>
        </w:rPr>
        <w:t>paper</w:t>
      </w:r>
      <w:proofErr w:type="spellEnd"/>
      <w:r>
        <w:rPr>
          <w:rFonts w:ascii="Arial" w:eastAsia="Arial" w:hAnsi="Arial" w:cs="Arial"/>
          <w:sz w:val="20"/>
          <w:szCs w:val="20"/>
        </w:rPr>
        <w:t>” dell’Agenzia Nazionale.</w:t>
      </w:r>
    </w:p>
    <w:p w:rsidR="00F539AD" w:rsidRDefault="00415CD3">
      <w:pPr>
        <w:spacing w:line="252" w:lineRule="auto"/>
        <w:ind w:left="6"/>
        <w:jc w:val="both"/>
      </w:pPr>
      <w:r>
        <w:rPr>
          <w:rFonts w:ascii="Arial" w:eastAsia="Arial" w:hAnsi="Arial" w:cs="Arial"/>
          <w:sz w:val="20"/>
          <w:szCs w:val="20"/>
        </w:rPr>
        <w:t>Al termine del periodo di studio, l’Istituto ospitante dovrà consegnare allo studente e contestualmente far pervenire al Politecnico delle arti di Bergamo la documentazione che attesti il periodo svolto (</w:t>
      </w:r>
      <w:r>
        <w:rPr>
          <w:rFonts w:ascii="Arial" w:eastAsia="Arial" w:hAnsi="Arial" w:cs="Arial"/>
          <w:i/>
          <w:sz w:val="20"/>
          <w:szCs w:val="20"/>
        </w:rPr>
        <w:t xml:space="preserve">Certificate </w:t>
      </w:r>
      <w:proofErr w:type="spellStart"/>
      <w:r>
        <w:rPr>
          <w:rFonts w:ascii="Arial" w:eastAsia="Arial" w:hAnsi="Arial" w:cs="Arial"/>
          <w:i/>
          <w:sz w:val="20"/>
          <w:szCs w:val="20"/>
        </w:rPr>
        <w:t>of</w:t>
      </w:r>
      <w:proofErr w:type="spellEnd"/>
      <w:r>
        <w:rPr>
          <w:rFonts w:ascii="Arial" w:eastAsia="Arial" w:hAnsi="Arial" w:cs="Arial"/>
          <w:i/>
          <w:sz w:val="20"/>
          <w:szCs w:val="20"/>
        </w:rPr>
        <w:t xml:space="preserve"> </w:t>
      </w:r>
      <w:proofErr w:type="spellStart"/>
      <w:r>
        <w:rPr>
          <w:rFonts w:ascii="Arial" w:eastAsia="Arial" w:hAnsi="Arial" w:cs="Arial"/>
          <w:i/>
          <w:sz w:val="20"/>
          <w:szCs w:val="20"/>
        </w:rPr>
        <w:t>Attendance</w:t>
      </w:r>
      <w:proofErr w:type="spellEnd"/>
      <w:r>
        <w:rPr>
          <w:rFonts w:ascii="Arial" w:eastAsia="Arial" w:hAnsi="Arial" w:cs="Arial"/>
          <w:sz w:val="20"/>
          <w:szCs w:val="20"/>
        </w:rPr>
        <w:t>) ed i risultati ottenuti (</w:t>
      </w:r>
      <w:proofErr w:type="spellStart"/>
      <w:r>
        <w:rPr>
          <w:rFonts w:ascii="Arial" w:eastAsia="Arial" w:hAnsi="Arial" w:cs="Arial"/>
          <w:i/>
          <w:sz w:val="20"/>
          <w:szCs w:val="20"/>
        </w:rPr>
        <w:t>Transcript</w:t>
      </w:r>
      <w:proofErr w:type="spellEnd"/>
      <w:r>
        <w:rPr>
          <w:rFonts w:ascii="Arial" w:eastAsia="Arial" w:hAnsi="Arial" w:cs="Arial"/>
          <w:i/>
          <w:sz w:val="20"/>
          <w:szCs w:val="20"/>
        </w:rPr>
        <w:t xml:space="preserve"> </w:t>
      </w:r>
      <w:proofErr w:type="spellStart"/>
      <w:r>
        <w:rPr>
          <w:rFonts w:ascii="Arial" w:eastAsia="Arial" w:hAnsi="Arial" w:cs="Arial"/>
          <w:i/>
          <w:sz w:val="20"/>
          <w:szCs w:val="20"/>
        </w:rPr>
        <w:t>of</w:t>
      </w:r>
      <w:proofErr w:type="spellEnd"/>
      <w:r>
        <w:rPr>
          <w:rFonts w:ascii="Arial" w:eastAsia="Arial" w:hAnsi="Arial" w:cs="Arial"/>
          <w:i/>
          <w:sz w:val="20"/>
          <w:szCs w:val="20"/>
        </w:rPr>
        <w:t xml:space="preserve"> </w:t>
      </w:r>
      <w:proofErr w:type="spellStart"/>
      <w:r>
        <w:rPr>
          <w:rFonts w:ascii="Arial" w:eastAsia="Arial" w:hAnsi="Arial" w:cs="Arial"/>
          <w:i/>
          <w:sz w:val="20"/>
          <w:szCs w:val="20"/>
        </w:rPr>
        <w:t>Records</w:t>
      </w:r>
      <w:proofErr w:type="spellEnd"/>
      <w:r>
        <w:rPr>
          <w:rFonts w:ascii="Arial" w:eastAsia="Arial" w:hAnsi="Arial" w:cs="Arial"/>
          <w:sz w:val="20"/>
          <w:szCs w:val="20"/>
        </w:rPr>
        <w:t>).</w:t>
      </w:r>
    </w:p>
    <w:p w:rsidR="00F539AD" w:rsidRDefault="00415CD3">
      <w:pPr>
        <w:ind w:left="6"/>
        <w:jc w:val="both"/>
      </w:pPr>
      <w:r>
        <w:rPr>
          <w:rFonts w:ascii="Arial" w:eastAsia="Arial" w:hAnsi="Arial" w:cs="Arial"/>
          <w:b/>
          <w:bCs/>
          <w:sz w:val="20"/>
          <w:szCs w:val="20"/>
          <w:u w:val="single"/>
        </w:rPr>
        <w:t>FINANZIAMENTI PREVISTI</w:t>
      </w:r>
    </w:p>
    <w:p w:rsidR="00F539AD" w:rsidRPr="00827514" w:rsidRDefault="00415CD3" w:rsidP="00827514">
      <w:pPr>
        <w:spacing w:line="247" w:lineRule="auto"/>
        <w:ind w:right="40"/>
        <w:jc w:val="both"/>
      </w:pPr>
      <w:r>
        <w:rPr>
          <w:rFonts w:ascii="Arial" w:eastAsia="Arial" w:hAnsi="Arial" w:cs="Arial"/>
          <w:sz w:val="20"/>
          <w:szCs w:val="20"/>
        </w:rPr>
        <w:t xml:space="preserve">Gli studenti possono ricevere una sovvenzione dell'UE come contributo ai costi di viaggio e di soggiorno durante il periodo di studi all'estero. Questi importi saranno definiti dalle Agenzie nazionali in accordo con le autorità </w:t>
      </w:r>
      <w:r>
        <w:rPr>
          <w:rFonts w:ascii="Arial" w:eastAsia="Arial" w:hAnsi="Arial" w:cs="Arial"/>
          <w:sz w:val="20"/>
          <w:szCs w:val="20"/>
        </w:rPr>
        <w:lastRenderedPageBreak/>
        <w:t>nazionali, e/o gli istituti d'istruzione superiore, sulla base di criteri oggettivi e trasparenti come descritto oltre. L'importo esatto sarà pubblicato sui siti internet delle Agenzie nazionali e degli istituti d'istruzione superiore.</w:t>
      </w:r>
      <w:bookmarkStart w:id="0" w:name="page2"/>
      <w:bookmarkEnd w:id="0"/>
    </w:p>
    <w:p w:rsidR="00F539AD" w:rsidRDefault="00415CD3">
      <w:pPr>
        <w:jc w:val="both"/>
      </w:pPr>
      <w:r>
        <w:rPr>
          <w:rFonts w:ascii="Arial" w:eastAsia="Arial" w:hAnsi="Arial" w:cs="Arial"/>
          <w:sz w:val="20"/>
          <w:szCs w:val="20"/>
        </w:rPr>
        <w:t>I paesi aderenti al Programma sono divisi nei seguenti tre gruppi:</w:t>
      </w:r>
    </w:p>
    <w:p w:rsidR="00F539AD" w:rsidRDefault="00F539AD">
      <w:pPr>
        <w:pStyle w:val="Default"/>
        <w:jc w:val="both"/>
        <w:rPr>
          <w:rFonts w:ascii="Arial" w:hAnsi="Arial" w:cs="Arial"/>
          <w:b/>
          <w:sz w:val="22"/>
          <w:szCs w:val="22"/>
        </w:rPr>
      </w:pPr>
    </w:p>
    <w:tbl>
      <w:tblPr>
        <w:tblW w:w="7977" w:type="dxa"/>
        <w:jc w:val="center"/>
        <w:tblLayout w:type="fixed"/>
        <w:tblLook w:val="0000"/>
      </w:tblPr>
      <w:tblGrid>
        <w:gridCol w:w="2657"/>
        <w:gridCol w:w="3554"/>
        <w:gridCol w:w="1766"/>
      </w:tblGrid>
      <w:tr w:rsidR="00F539AD">
        <w:trPr>
          <w:trHeight w:val="463"/>
          <w:jc w:val="center"/>
        </w:trPr>
        <w:tc>
          <w:tcPr>
            <w:tcW w:w="6211" w:type="dxa"/>
            <w:gridSpan w:val="2"/>
            <w:tcBorders>
              <w:top w:val="single" w:sz="4" w:space="0" w:color="000000"/>
              <w:left w:val="single" w:sz="4" w:space="0" w:color="000000"/>
              <w:bottom w:val="single" w:sz="4" w:space="0" w:color="000000"/>
              <w:right w:val="single" w:sz="4" w:space="0" w:color="000000"/>
            </w:tcBorders>
          </w:tcPr>
          <w:p w:rsidR="00F539AD" w:rsidRDefault="00415CD3">
            <w:pPr>
              <w:pStyle w:val="Default"/>
              <w:widowControl w:val="0"/>
              <w:jc w:val="both"/>
            </w:pPr>
            <w:r>
              <w:rPr>
                <w:rFonts w:ascii="Arial" w:hAnsi="Arial" w:cs="Arial"/>
                <w:b/>
                <w:bCs/>
                <w:sz w:val="20"/>
                <w:szCs w:val="20"/>
              </w:rPr>
              <w:t>Mobilità studenti a fini di studio PAESE OSPITANTE</w:t>
            </w:r>
          </w:p>
        </w:tc>
        <w:tc>
          <w:tcPr>
            <w:tcW w:w="1766" w:type="dxa"/>
            <w:tcBorders>
              <w:top w:val="single" w:sz="4" w:space="0" w:color="000000"/>
              <w:left w:val="single" w:sz="4" w:space="0" w:color="000000"/>
              <w:bottom w:val="single" w:sz="4" w:space="0" w:color="000000"/>
              <w:right w:val="single" w:sz="4" w:space="0" w:color="000000"/>
            </w:tcBorders>
          </w:tcPr>
          <w:p w:rsidR="00F539AD" w:rsidRDefault="00415CD3">
            <w:pPr>
              <w:pStyle w:val="Default"/>
              <w:widowControl w:val="0"/>
              <w:jc w:val="both"/>
            </w:pPr>
            <w:r>
              <w:rPr>
                <w:rFonts w:ascii="Arial" w:hAnsi="Arial" w:cs="Arial"/>
                <w:b/>
                <w:bCs/>
                <w:sz w:val="20"/>
                <w:szCs w:val="20"/>
              </w:rPr>
              <w:t>IMPORTO MENSILE</w:t>
            </w:r>
          </w:p>
        </w:tc>
      </w:tr>
      <w:tr w:rsidR="00F539AD">
        <w:trPr>
          <w:trHeight w:val="1841"/>
          <w:jc w:val="center"/>
        </w:trPr>
        <w:tc>
          <w:tcPr>
            <w:tcW w:w="2657" w:type="dxa"/>
            <w:tcBorders>
              <w:top w:val="single" w:sz="4" w:space="0" w:color="000000"/>
              <w:left w:val="single" w:sz="4" w:space="0" w:color="000000"/>
              <w:bottom w:val="single" w:sz="4" w:space="0" w:color="000000"/>
              <w:right w:val="single" w:sz="4" w:space="0" w:color="000000"/>
            </w:tcBorders>
          </w:tcPr>
          <w:p w:rsidR="00F539AD" w:rsidRDefault="00F539AD">
            <w:pPr>
              <w:pStyle w:val="Default"/>
              <w:widowControl w:val="0"/>
              <w:jc w:val="both"/>
            </w:pPr>
          </w:p>
          <w:p w:rsidR="00E36181" w:rsidRDefault="00E36181">
            <w:pPr>
              <w:pStyle w:val="Default"/>
              <w:widowControl w:val="0"/>
              <w:jc w:val="both"/>
              <w:rPr>
                <w:rFonts w:ascii="Arial" w:hAnsi="Arial" w:cs="Arial"/>
                <w:b/>
                <w:bCs/>
                <w:sz w:val="20"/>
                <w:szCs w:val="20"/>
              </w:rPr>
            </w:pPr>
          </w:p>
          <w:p w:rsidR="00E36181" w:rsidRDefault="00E36181">
            <w:pPr>
              <w:pStyle w:val="Default"/>
              <w:widowControl w:val="0"/>
              <w:jc w:val="both"/>
              <w:rPr>
                <w:rFonts w:ascii="Arial" w:hAnsi="Arial" w:cs="Arial"/>
                <w:b/>
                <w:bCs/>
                <w:sz w:val="20"/>
                <w:szCs w:val="20"/>
              </w:rPr>
            </w:pPr>
          </w:p>
          <w:p w:rsidR="00E36181" w:rsidRDefault="00E36181">
            <w:pPr>
              <w:pStyle w:val="Default"/>
              <w:widowControl w:val="0"/>
              <w:jc w:val="both"/>
              <w:rPr>
                <w:rFonts w:ascii="Arial" w:hAnsi="Arial" w:cs="Arial"/>
                <w:b/>
                <w:bCs/>
                <w:sz w:val="20"/>
                <w:szCs w:val="20"/>
              </w:rPr>
            </w:pPr>
          </w:p>
          <w:p w:rsidR="00E36181" w:rsidRDefault="00E36181">
            <w:pPr>
              <w:pStyle w:val="Default"/>
              <w:widowControl w:val="0"/>
              <w:jc w:val="both"/>
              <w:rPr>
                <w:rFonts w:ascii="Arial" w:hAnsi="Arial" w:cs="Arial"/>
                <w:b/>
                <w:bCs/>
                <w:sz w:val="20"/>
                <w:szCs w:val="20"/>
              </w:rPr>
            </w:pPr>
          </w:p>
          <w:p w:rsidR="00F539AD" w:rsidRDefault="00415CD3">
            <w:pPr>
              <w:pStyle w:val="Default"/>
              <w:widowControl w:val="0"/>
              <w:jc w:val="both"/>
            </w:pPr>
            <w:r>
              <w:rPr>
                <w:rFonts w:ascii="Arial" w:hAnsi="Arial" w:cs="Arial"/>
                <w:b/>
                <w:bCs/>
                <w:sz w:val="20"/>
                <w:szCs w:val="20"/>
              </w:rPr>
              <w:t>GRUPPO 1</w:t>
            </w:r>
          </w:p>
          <w:p w:rsidR="00F539AD" w:rsidRDefault="00415CD3">
            <w:pPr>
              <w:pStyle w:val="Default"/>
              <w:widowControl w:val="0"/>
              <w:jc w:val="both"/>
            </w:pPr>
            <w:r>
              <w:rPr>
                <w:rFonts w:ascii="Arial" w:hAnsi="Arial" w:cs="Arial"/>
                <w:b/>
                <w:bCs/>
                <w:sz w:val="20"/>
                <w:szCs w:val="20"/>
              </w:rPr>
              <w:t>(costo della vita ALTO)</w:t>
            </w:r>
          </w:p>
        </w:tc>
        <w:tc>
          <w:tcPr>
            <w:tcW w:w="3554" w:type="dxa"/>
            <w:tcBorders>
              <w:top w:val="single" w:sz="4" w:space="0" w:color="000000"/>
              <w:left w:val="single" w:sz="4" w:space="0" w:color="000000"/>
              <w:bottom w:val="single" w:sz="4" w:space="0" w:color="000000"/>
              <w:right w:val="single" w:sz="4" w:space="0" w:color="000000"/>
            </w:tcBorders>
          </w:tcPr>
          <w:p w:rsidR="00827514" w:rsidRPr="00827514" w:rsidRDefault="00827514" w:rsidP="00827514">
            <w:pPr>
              <w:pStyle w:val="Default"/>
              <w:jc w:val="both"/>
              <w:rPr>
                <w:rFonts w:ascii="Arial" w:hAnsi="Arial" w:cs="Arial"/>
                <w:sz w:val="20"/>
                <w:szCs w:val="20"/>
              </w:rPr>
            </w:pPr>
            <w:r w:rsidRPr="00827514">
              <w:rPr>
                <w:rFonts w:ascii="Arial" w:hAnsi="Arial" w:cs="Arial"/>
                <w:sz w:val="20"/>
                <w:szCs w:val="20"/>
              </w:rPr>
              <w:t xml:space="preserve">Austria, Belgio, Danimarca, Finlandia, Francia, Germania, Irlanda, Islanda, Liechtenstein, Lussemburgo, Paesi Bassi, Norvegia, Svezia. </w:t>
            </w:r>
          </w:p>
          <w:p w:rsidR="00827514" w:rsidRPr="00827514" w:rsidRDefault="00827514" w:rsidP="00827514">
            <w:pPr>
              <w:pStyle w:val="Default"/>
              <w:jc w:val="both"/>
              <w:rPr>
                <w:rFonts w:ascii="Arial" w:hAnsi="Arial" w:cs="Arial"/>
                <w:sz w:val="20"/>
                <w:szCs w:val="20"/>
              </w:rPr>
            </w:pPr>
            <w:r w:rsidRPr="00827514">
              <w:rPr>
                <w:rFonts w:ascii="Arial" w:hAnsi="Arial" w:cs="Arial"/>
                <w:sz w:val="20"/>
                <w:szCs w:val="20"/>
              </w:rPr>
              <w:t xml:space="preserve">Paesi terzi non associati al Programma della Regione 13: Andorra, Monaco, San Marino, Stato della Città del Vaticano </w:t>
            </w:r>
          </w:p>
          <w:p w:rsidR="00F539AD" w:rsidRDefault="00827514" w:rsidP="00827514">
            <w:pPr>
              <w:pStyle w:val="Default"/>
              <w:widowControl w:val="0"/>
              <w:jc w:val="both"/>
            </w:pPr>
            <w:r w:rsidRPr="00827514">
              <w:rPr>
                <w:rFonts w:ascii="Arial" w:hAnsi="Arial" w:cs="Arial"/>
                <w:sz w:val="20"/>
                <w:szCs w:val="20"/>
              </w:rPr>
              <w:t xml:space="preserve">Paesi terzi non associati al Programma della Regione 14: Isole </w:t>
            </w:r>
            <w:proofErr w:type="spellStart"/>
            <w:r w:rsidRPr="00827514">
              <w:rPr>
                <w:rFonts w:ascii="Arial" w:hAnsi="Arial" w:cs="Arial"/>
                <w:sz w:val="20"/>
                <w:szCs w:val="20"/>
              </w:rPr>
              <w:t>Fær</w:t>
            </w:r>
            <w:proofErr w:type="spellEnd"/>
            <w:r w:rsidRPr="00827514">
              <w:rPr>
                <w:rFonts w:ascii="Arial" w:hAnsi="Arial" w:cs="Arial"/>
                <w:sz w:val="20"/>
                <w:szCs w:val="20"/>
              </w:rPr>
              <w:t xml:space="preserve"> </w:t>
            </w:r>
            <w:proofErr w:type="spellStart"/>
            <w:r w:rsidRPr="00827514">
              <w:rPr>
                <w:rFonts w:ascii="Arial" w:hAnsi="Arial" w:cs="Arial"/>
                <w:sz w:val="20"/>
                <w:szCs w:val="20"/>
              </w:rPr>
              <w:t>Øer</w:t>
            </w:r>
            <w:proofErr w:type="spellEnd"/>
            <w:r w:rsidRPr="00827514">
              <w:rPr>
                <w:rFonts w:ascii="Arial" w:hAnsi="Arial" w:cs="Arial"/>
                <w:sz w:val="20"/>
                <w:szCs w:val="20"/>
              </w:rPr>
              <w:t>, Regno Unito, Svizzera</w:t>
            </w:r>
          </w:p>
        </w:tc>
        <w:tc>
          <w:tcPr>
            <w:tcW w:w="1766" w:type="dxa"/>
            <w:tcBorders>
              <w:top w:val="single" w:sz="4" w:space="0" w:color="000000"/>
              <w:left w:val="single" w:sz="4" w:space="0" w:color="000000"/>
              <w:bottom w:val="single" w:sz="4" w:space="0" w:color="000000"/>
              <w:right w:val="single" w:sz="4" w:space="0" w:color="000000"/>
            </w:tcBorders>
          </w:tcPr>
          <w:p w:rsidR="00F539AD" w:rsidRDefault="00F539AD">
            <w:pPr>
              <w:pStyle w:val="Default"/>
              <w:widowControl w:val="0"/>
              <w:jc w:val="both"/>
            </w:pPr>
          </w:p>
          <w:p w:rsidR="00F539AD" w:rsidRDefault="00F539AD">
            <w:pPr>
              <w:pStyle w:val="Default"/>
              <w:widowControl w:val="0"/>
              <w:jc w:val="both"/>
            </w:pPr>
          </w:p>
          <w:p w:rsidR="00827514" w:rsidRDefault="00827514">
            <w:pPr>
              <w:pStyle w:val="Default"/>
              <w:widowControl w:val="0"/>
              <w:jc w:val="both"/>
              <w:rPr>
                <w:rFonts w:ascii="Arial" w:hAnsi="Arial" w:cs="Arial"/>
                <w:b/>
                <w:bCs/>
                <w:sz w:val="20"/>
                <w:szCs w:val="20"/>
              </w:rPr>
            </w:pPr>
          </w:p>
          <w:p w:rsidR="00827514" w:rsidRDefault="00827514">
            <w:pPr>
              <w:pStyle w:val="Default"/>
              <w:widowControl w:val="0"/>
              <w:jc w:val="both"/>
              <w:rPr>
                <w:rFonts w:ascii="Arial" w:hAnsi="Arial" w:cs="Arial"/>
                <w:b/>
                <w:bCs/>
                <w:sz w:val="20"/>
                <w:szCs w:val="20"/>
              </w:rPr>
            </w:pPr>
          </w:p>
          <w:p w:rsidR="00827514" w:rsidRDefault="00827514">
            <w:pPr>
              <w:pStyle w:val="Default"/>
              <w:widowControl w:val="0"/>
              <w:jc w:val="both"/>
              <w:rPr>
                <w:rFonts w:ascii="Arial" w:hAnsi="Arial" w:cs="Arial"/>
                <w:b/>
                <w:bCs/>
                <w:sz w:val="20"/>
                <w:szCs w:val="20"/>
              </w:rPr>
            </w:pPr>
          </w:p>
          <w:p w:rsidR="00827514" w:rsidRDefault="00827514">
            <w:pPr>
              <w:pStyle w:val="Default"/>
              <w:widowControl w:val="0"/>
              <w:jc w:val="both"/>
              <w:rPr>
                <w:rFonts w:ascii="Arial" w:hAnsi="Arial" w:cs="Arial"/>
                <w:b/>
                <w:bCs/>
                <w:sz w:val="20"/>
                <w:szCs w:val="20"/>
              </w:rPr>
            </w:pPr>
          </w:p>
          <w:p w:rsidR="00F539AD" w:rsidRDefault="00415CD3">
            <w:pPr>
              <w:pStyle w:val="Default"/>
              <w:widowControl w:val="0"/>
              <w:jc w:val="both"/>
            </w:pPr>
            <w:r>
              <w:rPr>
                <w:rFonts w:ascii="Arial" w:hAnsi="Arial" w:cs="Arial"/>
                <w:b/>
                <w:bCs/>
                <w:sz w:val="20"/>
                <w:szCs w:val="20"/>
              </w:rPr>
              <w:t>€ 350,00</w:t>
            </w:r>
          </w:p>
        </w:tc>
      </w:tr>
      <w:tr w:rsidR="00827514" w:rsidTr="002F4665">
        <w:trPr>
          <w:trHeight w:val="813"/>
          <w:jc w:val="center"/>
        </w:trPr>
        <w:tc>
          <w:tcPr>
            <w:tcW w:w="2657" w:type="dxa"/>
            <w:tcBorders>
              <w:top w:val="single" w:sz="4" w:space="0" w:color="000000"/>
              <w:left w:val="single" w:sz="4" w:space="0" w:color="000000"/>
              <w:bottom w:val="single" w:sz="4" w:space="0" w:color="000000"/>
              <w:right w:val="single" w:sz="4" w:space="0" w:color="000000"/>
            </w:tcBorders>
          </w:tcPr>
          <w:p w:rsidR="00E36181" w:rsidRDefault="00E36181">
            <w:pPr>
              <w:pStyle w:val="Default"/>
              <w:widowControl w:val="0"/>
              <w:jc w:val="both"/>
            </w:pPr>
          </w:p>
          <w:p w:rsidR="00827514" w:rsidRDefault="00827514">
            <w:pPr>
              <w:pStyle w:val="Default"/>
              <w:widowControl w:val="0"/>
              <w:jc w:val="both"/>
            </w:pPr>
            <w:r>
              <w:rPr>
                <w:rFonts w:ascii="Arial" w:hAnsi="Arial" w:cs="Arial"/>
                <w:b/>
                <w:bCs/>
                <w:sz w:val="20"/>
                <w:szCs w:val="20"/>
              </w:rPr>
              <w:t>GRUPPO 2</w:t>
            </w:r>
          </w:p>
          <w:p w:rsidR="00827514" w:rsidRDefault="00827514">
            <w:pPr>
              <w:pStyle w:val="Default"/>
              <w:widowControl w:val="0"/>
              <w:jc w:val="both"/>
            </w:pPr>
            <w:r>
              <w:rPr>
                <w:rFonts w:ascii="Arial" w:hAnsi="Arial" w:cs="Arial"/>
                <w:b/>
                <w:bCs/>
                <w:sz w:val="20"/>
                <w:szCs w:val="20"/>
              </w:rPr>
              <w:t>(costo della vita MEDIO)</w:t>
            </w:r>
          </w:p>
        </w:tc>
        <w:tc>
          <w:tcPr>
            <w:tcW w:w="3554" w:type="dxa"/>
            <w:tcBorders>
              <w:top w:val="single" w:sz="4" w:space="0" w:color="000000"/>
              <w:left w:val="single" w:sz="4" w:space="0" w:color="000000"/>
              <w:bottom w:val="single" w:sz="4" w:space="0" w:color="000000"/>
              <w:right w:val="single" w:sz="4" w:space="0" w:color="000000"/>
            </w:tcBorders>
          </w:tcPr>
          <w:p w:rsidR="00827514" w:rsidRPr="00827514" w:rsidRDefault="00827514" w:rsidP="00827514">
            <w:pPr>
              <w:pStyle w:val="Default"/>
              <w:jc w:val="both"/>
              <w:rPr>
                <w:sz w:val="20"/>
                <w:szCs w:val="20"/>
              </w:rPr>
            </w:pPr>
            <w:r w:rsidRPr="00827514">
              <w:rPr>
                <w:rFonts w:ascii="Arial" w:hAnsi="Arial" w:cs="Arial"/>
                <w:sz w:val="20"/>
                <w:szCs w:val="20"/>
              </w:rPr>
              <w:t>Cipro, Estonia, Grecia, Lettonia, Malta, Portogallo, Repubblica Ceca, Slovacchia, Slovenia, Spagna.</w:t>
            </w:r>
            <w:r>
              <w:rPr>
                <w:sz w:val="20"/>
                <w:szCs w:val="20"/>
              </w:rPr>
              <w:t xml:space="preserve"> </w:t>
            </w:r>
          </w:p>
        </w:tc>
        <w:tc>
          <w:tcPr>
            <w:tcW w:w="1766" w:type="dxa"/>
            <w:vMerge w:val="restart"/>
            <w:tcBorders>
              <w:top w:val="single" w:sz="4" w:space="0" w:color="000000"/>
              <w:left w:val="single" w:sz="4" w:space="0" w:color="000000"/>
              <w:right w:val="single" w:sz="4" w:space="0" w:color="000000"/>
            </w:tcBorders>
          </w:tcPr>
          <w:p w:rsidR="00827514" w:rsidRDefault="00827514">
            <w:pPr>
              <w:pStyle w:val="Default"/>
              <w:widowControl w:val="0"/>
              <w:jc w:val="both"/>
            </w:pPr>
          </w:p>
          <w:p w:rsidR="00827514" w:rsidRDefault="00827514">
            <w:pPr>
              <w:pStyle w:val="Default"/>
              <w:widowControl w:val="0"/>
              <w:jc w:val="both"/>
              <w:rPr>
                <w:rFonts w:ascii="Arial" w:hAnsi="Arial" w:cs="Arial"/>
                <w:b/>
                <w:bCs/>
                <w:sz w:val="20"/>
                <w:szCs w:val="20"/>
              </w:rPr>
            </w:pPr>
          </w:p>
          <w:p w:rsidR="00827514" w:rsidRDefault="00827514">
            <w:pPr>
              <w:pStyle w:val="Default"/>
              <w:widowControl w:val="0"/>
              <w:jc w:val="both"/>
              <w:rPr>
                <w:rFonts w:ascii="Arial" w:hAnsi="Arial" w:cs="Arial"/>
                <w:b/>
                <w:bCs/>
                <w:sz w:val="20"/>
                <w:szCs w:val="20"/>
              </w:rPr>
            </w:pPr>
          </w:p>
          <w:p w:rsidR="00827514" w:rsidRDefault="00827514">
            <w:pPr>
              <w:pStyle w:val="Default"/>
              <w:widowControl w:val="0"/>
              <w:jc w:val="both"/>
            </w:pPr>
            <w:r>
              <w:rPr>
                <w:rFonts w:ascii="Arial" w:hAnsi="Arial" w:cs="Arial"/>
                <w:b/>
                <w:bCs/>
                <w:sz w:val="20"/>
                <w:szCs w:val="20"/>
              </w:rPr>
              <w:t>€ 300,00</w:t>
            </w:r>
          </w:p>
          <w:p w:rsidR="00827514" w:rsidRDefault="00827514">
            <w:pPr>
              <w:pStyle w:val="Default"/>
              <w:widowControl w:val="0"/>
              <w:jc w:val="both"/>
            </w:pPr>
          </w:p>
          <w:p w:rsidR="00827514" w:rsidRDefault="00827514" w:rsidP="002F4665">
            <w:pPr>
              <w:pStyle w:val="Default"/>
              <w:widowControl w:val="0"/>
              <w:jc w:val="both"/>
            </w:pPr>
          </w:p>
        </w:tc>
      </w:tr>
      <w:tr w:rsidR="00827514" w:rsidTr="002F4665">
        <w:trPr>
          <w:trHeight w:val="754"/>
          <w:jc w:val="center"/>
        </w:trPr>
        <w:tc>
          <w:tcPr>
            <w:tcW w:w="2657" w:type="dxa"/>
            <w:tcBorders>
              <w:top w:val="single" w:sz="4" w:space="0" w:color="000000"/>
              <w:left w:val="single" w:sz="4" w:space="0" w:color="000000"/>
              <w:bottom w:val="single" w:sz="4" w:space="0" w:color="000000"/>
              <w:right w:val="single" w:sz="4" w:space="0" w:color="000000"/>
            </w:tcBorders>
          </w:tcPr>
          <w:p w:rsidR="00827514" w:rsidRDefault="00827514">
            <w:pPr>
              <w:pStyle w:val="Default"/>
              <w:widowControl w:val="0"/>
              <w:jc w:val="both"/>
            </w:pPr>
          </w:p>
          <w:p w:rsidR="00827514" w:rsidRDefault="00827514">
            <w:pPr>
              <w:pStyle w:val="Default"/>
              <w:widowControl w:val="0"/>
              <w:jc w:val="both"/>
            </w:pPr>
            <w:r>
              <w:rPr>
                <w:rFonts w:ascii="Arial" w:hAnsi="Arial" w:cs="Arial"/>
                <w:b/>
                <w:bCs/>
                <w:sz w:val="20"/>
                <w:szCs w:val="20"/>
              </w:rPr>
              <w:t>GRUPPO 3</w:t>
            </w:r>
          </w:p>
          <w:p w:rsidR="00827514" w:rsidRDefault="00827514">
            <w:pPr>
              <w:pStyle w:val="Default"/>
              <w:widowControl w:val="0"/>
              <w:jc w:val="both"/>
            </w:pPr>
            <w:r>
              <w:rPr>
                <w:rFonts w:ascii="Arial" w:hAnsi="Arial" w:cs="Arial"/>
                <w:b/>
                <w:bCs/>
                <w:sz w:val="20"/>
                <w:szCs w:val="20"/>
              </w:rPr>
              <w:t>(costo della vita BASSO)</w:t>
            </w:r>
          </w:p>
        </w:tc>
        <w:tc>
          <w:tcPr>
            <w:tcW w:w="3554" w:type="dxa"/>
            <w:tcBorders>
              <w:top w:val="single" w:sz="4" w:space="0" w:color="000000"/>
              <w:left w:val="single" w:sz="4" w:space="0" w:color="000000"/>
              <w:bottom w:val="single" w:sz="4" w:space="0" w:color="000000"/>
              <w:right w:val="single" w:sz="4" w:space="0" w:color="000000"/>
            </w:tcBorders>
          </w:tcPr>
          <w:p w:rsidR="00827514" w:rsidRPr="00827514" w:rsidRDefault="00827514" w:rsidP="00827514">
            <w:pPr>
              <w:pStyle w:val="Default"/>
              <w:jc w:val="both"/>
              <w:rPr>
                <w:sz w:val="20"/>
                <w:szCs w:val="20"/>
              </w:rPr>
            </w:pPr>
            <w:r w:rsidRPr="00827514">
              <w:rPr>
                <w:rFonts w:ascii="Arial" w:hAnsi="Arial" w:cs="Arial"/>
                <w:sz w:val="20"/>
                <w:szCs w:val="20"/>
              </w:rPr>
              <w:t>Bulgaria, Croazia, Lituania, Macedonia del Nord, Polonia, Romania, Serbia, Turchia, Ungheria.</w:t>
            </w:r>
            <w:r>
              <w:rPr>
                <w:sz w:val="20"/>
                <w:szCs w:val="20"/>
              </w:rPr>
              <w:t xml:space="preserve"> </w:t>
            </w:r>
          </w:p>
        </w:tc>
        <w:tc>
          <w:tcPr>
            <w:tcW w:w="1766" w:type="dxa"/>
            <w:vMerge/>
            <w:tcBorders>
              <w:left w:val="single" w:sz="4" w:space="0" w:color="000000"/>
              <w:bottom w:val="single" w:sz="4" w:space="0" w:color="000000"/>
              <w:right w:val="single" w:sz="4" w:space="0" w:color="000000"/>
            </w:tcBorders>
          </w:tcPr>
          <w:p w:rsidR="00827514" w:rsidRDefault="00827514">
            <w:pPr>
              <w:pStyle w:val="Default"/>
              <w:widowControl w:val="0"/>
              <w:jc w:val="both"/>
            </w:pPr>
          </w:p>
        </w:tc>
      </w:tr>
    </w:tbl>
    <w:p w:rsidR="00F539AD" w:rsidRDefault="00F539AD">
      <w:pPr>
        <w:spacing w:line="178" w:lineRule="exact"/>
        <w:jc w:val="both"/>
        <w:rPr>
          <w:sz w:val="20"/>
          <w:szCs w:val="20"/>
        </w:rPr>
      </w:pPr>
    </w:p>
    <w:p w:rsidR="00F539AD" w:rsidRDefault="00F539AD">
      <w:pPr>
        <w:spacing w:line="178" w:lineRule="exact"/>
        <w:jc w:val="both"/>
        <w:rPr>
          <w:sz w:val="20"/>
          <w:szCs w:val="20"/>
        </w:rPr>
      </w:pPr>
    </w:p>
    <w:p w:rsidR="00F539AD" w:rsidRDefault="00415CD3">
      <w:pPr>
        <w:spacing w:line="247" w:lineRule="auto"/>
        <w:ind w:left="6" w:right="40"/>
        <w:jc w:val="both"/>
        <w:rPr>
          <w:b/>
          <w:bCs/>
          <w:u w:val="single"/>
        </w:rPr>
      </w:pPr>
      <w:r>
        <w:rPr>
          <w:rFonts w:ascii="Arial" w:eastAsia="Arial" w:hAnsi="Arial" w:cs="Arial"/>
          <w:b/>
          <w:bCs/>
          <w:sz w:val="20"/>
          <w:szCs w:val="20"/>
          <w:u w:val="single"/>
        </w:rPr>
        <w:t>Questi massimali stabiliti dall'Agenzia Nazionale in accordo con l’Autorità Nazionale sono fissi per l'intero progetto di mobilità, ma possono subire variazioni in base all'Attribuzione Fondi Azione Chiave KA131-HED.</w:t>
      </w:r>
    </w:p>
    <w:p w:rsidR="00F539AD" w:rsidRDefault="00415CD3">
      <w:pPr>
        <w:spacing w:line="247" w:lineRule="auto"/>
        <w:ind w:left="6" w:right="40"/>
        <w:jc w:val="both"/>
      </w:pPr>
      <w:r>
        <w:rPr>
          <w:rFonts w:ascii="Arial" w:eastAsia="Arial" w:hAnsi="Arial" w:cs="Arial"/>
          <w:sz w:val="20"/>
          <w:szCs w:val="20"/>
        </w:rPr>
        <w:t xml:space="preserve">• Mobilità studenti a fini di </w:t>
      </w:r>
      <w:proofErr w:type="spellStart"/>
      <w:r>
        <w:rPr>
          <w:rFonts w:ascii="Arial" w:eastAsia="Arial" w:hAnsi="Arial" w:cs="Arial"/>
          <w:sz w:val="20"/>
          <w:szCs w:val="20"/>
        </w:rPr>
        <w:t>traineeship</w:t>
      </w:r>
      <w:proofErr w:type="spellEnd"/>
      <w:r>
        <w:rPr>
          <w:rFonts w:ascii="Arial" w:eastAsia="Arial" w:hAnsi="Arial" w:cs="Arial"/>
          <w:sz w:val="20"/>
          <w:szCs w:val="20"/>
        </w:rPr>
        <w:t xml:space="preserve">: contributo aggiuntivo al supporto individuale pari a € 150,00 al mese. Gli studenti e i neolaureati con minori opportunità che prendono parte ad un </w:t>
      </w:r>
      <w:proofErr w:type="spellStart"/>
      <w:r>
        <w:rPr>
          <w:rFonts w:ascii="Arial" w:eastAsia="Arial" w:hAnsi="Arial" w:cs="Arial"/>
          <w:sz w:val="20"/>
          <w:szCs w:val="20"/>
        </w:rPr>
        <w:t>traineeships</w:t>
      </w:r>
      <w:proofErr w:type="spellEnd"/>
      <w:r>
        <w:rPr>
          <w:rFonts w:ascii="Arial" w:eastAsia="Arial" w:hAnsi="Arial" w:cs="Arial"/>
          <w:sz w:val="20"/>
          <w:szCs w:val="20"/>
        </w:rPr>
        <w:t xml:space="preserve"> hanno diritto a ricevere un contributo aggiuntivo sia per le minori opportunità che per il </w:t>
      </w:r>
      <w:proofErr w:type="spellStart"/>
      <w:r>
        <w:rPr>
          <w:rFonts w:ascii="Arial" w:eastAsia="Arial" w:hAnsi="Arial" w:cs="Arial"/>
          <w:sz w:val="20"/>
          <w:szCs w:val="20"/>
        </w:rPr>
        <w:t>traineeships</w:t>
      </w:r>
      <w:proofErr w:type="spellEnd"/>
      <w:r>
        <w:rPr>
          <w:rFonts w:ascii="Arial" w:eastAsia="Arial" w:hAnsi="Arial" w:cs="Arial"/>
          <w:sz w:val="20"/>
          <w:szCs w:val="20"/>
        </w:rPr>
        <w:t xml:space="preserve">. </w:t>
      </w:r>
    </w:p>
    <w:p w:rsidR="00F539AD" w:rsidRDefault="00415CD3">
      <w:pPr>
        <w:spacing w:line="247" w:lineRule="auto"/>
        <w:ind w:left="6" w:right="40"/>
        <w:jc w:val="both"/>
      </w:pPr>
      <w:r>
        <w:rPr>
          <w:rFonts w:ascii="Arial" w:eastAsia="Arial" w:hAnsi="Arial" w:cs="Arial"/>
          <w:sz w:val="20"/>
          <w:szCs w:val="20"/>
        </w:rPr>
        <w:t xml:space="preserve">• Studenti e neolaureati in mobilità fisica di breve durata ricevono € 70,00 al giorno fino al 14 esimo giorno di attività e € 50,00 al giorno tra il 15 esimo e il 30 esimo giorno di attività. </w:t>
      </w:r>
    </w:p>
    <w:p w:rsidR="00F539AD" w:rsidRDefault="00415CD3" w:rsidP="00E36181">
      <w:pPr>
        <w:spacing w:line="247" w:lineRule="auto"/>
        <w:ind w:left="6" w:right="40"/>
        <w:jc w:val="both"/>
      </w:pPr>
      <w:r>
        <w:rPr>
          <w:rFonts w:ascii="Arial" w:eastAsia="Arial" w:hAnsi="Arial" w:cs="Arial"/>
          <w:sz w:val="20"/>
          <w:szCs w:val="20"/>
        </w:rPr>
        <w:t xml:space="preserve">• Studenti e neolaureati con minori opportunità in mobilità fisica di breve durata ricevono un contributo aggiuntivo pari a € 100,00 per un periodo di mobilità fisica di 5-14 giorni e € 150,00 per un periodo di 15-30 giorni. Il contributo aggiuntivo per il </w:t>
      </w:r>
      <w:proofErr w:type="spellStart"/>
      <w:r>
        <w:rPr>
          <w:rFonts w:ascii="Arial" w:eastAsia="Arial" w:hAnsi="Arial" w:cs="Arial"/>
          <w:sz w:val="20"/>
          <w:szCs w:val="20"/>
        </w:rPr>
        <w:t>traineeships</w:t>
      </w:r>
      <w:proofErr w:type="spellEnd"/>
      <w:r>
        <w:rPr>
          <w:rFonts w:ascii="Arial" w:eastAsia="Arial" w:hAnsi="Arial" w:cs="Arial"/>
          <w:sz w:val="20"/>
          <w:szCs w:val="20"/>
        </w:rPr>
        <w:t xml:space="preserve"> in questo caso non si applica. </w:t>
      </w:r>
    </w:p>
    <w:p w:rsidR="00F539AD" w:rsidRDefault="00F539AD">
      <w:pPr>
        <w:ind w:left="6"/>
        <w:jc w:val="both"/>
      </w:pPr>
    </w:p>
    <w:p w:rsidR="00F539AD" w:rsidRPr="008D7C43" w:rsidRDefault="00415CD3" w:rsidP="008D7C43">
      <w:pPr>
        <w:ind w:left="6"/>
        <w:jc w:val="both"/>
        <w:rPr>
          <w:u w:val="single"/>
        </w:rPr>
      </w:pPr>
      <w:r>
        <w:rPr>
          <w:rFonts w:ascii="Arial" w:eastAsia="Arial" w:hAnsi="Arial" w:cs="Arial"/>
          <w:b/>
          <w:bCs/>
          <w:sz w:val="20"/>
          <w:szCs w:val="20"/>
          <w:u w:val="single"/>
        </w:rPr>
        <w:t>VIAGGIO – Contributo ai costi di viaggio</w:t>
      </w:r>
    </w:p>
    <w:p w:rsidR="00E36181" w:rsidRPr="00E36181" w:rsidRDefault="00E36181" w:rsidP="00E36181">
      <w:pPr>
        <w:spacing w:line="247" w:lineRule="auto"/>
        <w:ind w:left="6" w:right="40"/>
        <w:jc w:val="both"/>
        <w:rPr>
          <w:b/>
          <w:sz w:val="20"/>
          <w:szCs w:val="20"/>
        </w:rPr>
      </w:pPr>
      <w:r w:rsidRPr="00E36181">
        <w:rPr>
          <w:rFonts w:ascii="Arial" w:eastAsia="Arial" w:hAnsi="Arial" w:cs="Arial"/>
          <w:b/>
          <w:sz w:val="20"/>
          <w:szCs w:val="20"/>
        </w:rPr>
        <w:t xml:space="preserve">Come previsto dalla Guida del Programma 2024, l’Agenzia Nazionale, in accordo con l’Autorità Nazionale MUR, ha deciso di </w:t>
      </w:r>
      <w:r w:rsidRPr="00E36181">
        <w:rPr>
          <w:rFonts w:ascii="Arial" w:eastAsia="Arial" w:hAnsi="Arial" w:cs="Arial"/>
          <w:b/>
          <w:color w:val="FF0000"/>
          <w:sz w:val="20"/>
          <w:szCs w:val="20"/>
        </w:rPr>
        <w:t>non applicare</w:t>
      </w:r>
      <w:r w:rsidRPr="00E36181">
        <w:rPr>
          <w:rFonts w:ascii="Arial" w:eastAsia="Arial" w:hAnsi="Arial" w:cs="Arial"/>
          <w:b/>
          <w:sz w:val="20"/>
          <w:szCs w:val="20"/>
        </w:rPr>
        <w:t xml:space="preserve"> i contributi di viaggio per gli studenti e i neolaureati in mobilità verso gli Stati membri dell'UE e i paesi terzi associati al programma</w:t>
      </w:r>
      <w:r w:rsidRPr="00E36181">
        <w:rPr>
          <w:b/>
          <w:sz w:val="20"/>
          <w:szCs w:val="20"/>
        </w:rPr>
        <w:t>.</w:t>
      </w:r>
    </w:p>
    <w:p w:rsidR="00F539AD" w:rsidRDefault="00415CD3" w:rsidP="00E36181">
      <w:pPr>
        <w:spacing w:line="247" w:lineRule="auto"/>
        <w:ind w:right="40"/>
        <w:jc w:val="both"/>
      </w:pPr>
      <w:r>
        <w:rPr>
          <w:rFonts w:ascii="Arial" w:eastAsia="Arial" w:hAnsi="Arial" w:cs="Arial"/>
          <w:sz w:val="20"/>
          <w:szCs w:val="20"/>
        </w:rPr>
        <w:t xml:space="preserve">I finanziamenti sono assegnati esclusivamente per lo svolgimento all'estero delle attività ammissibili la cui durata sarà di almeno 3 mesi e non superiore ai 12 mesi (vedi note: Attività da svolgere nella sede estera), nonché al </w:t>
      </w:r>
      <w:r>
        <w:rPr>
          <w:rFonts w:ascii="Arial" w:eastAsia="Arial" w:hAnsi="Arial" w:cs="Arial"/>
          <w:sz w:val="20"/>
          <w:szCs w:val="20"/>
        </w:rPr>
        <w:lastRenderedPageBreak/>
        <w:t xml:space="preserve">superamento degli esami e al loro riconoscimento. Il periodo deve essere continuativo e deve svolgersi a partire dal </w:t>
      </w:r>
      <w:r w:rsidR="008D7C43">
        <w:rPr>
          <w:rFonts w:ascii="Arial" w:eastAsia="Arial" w:hAnsi="Arial" w:cs="Arial"/>
          <w:b/>
          <w:sz w:val="20"/>
          <w:szCs w:val="20"/>
        </w:rPr>
        <w:t xml:space="preserve">secondo semestre </w:t>
      </w:r>
      <w:proofErr w:type="spellStart"/>
      <w:r w:rsidR="008D7C43">
        <w:rPr>
          <w:rFonts w:ascii="Arial" w:eastAsia="Arial" w:hAnsi="Arial" w:cs="Arial"/>
          <w:b/>
          <w:sz w:val="20"/>
          <w:szCs w:val="20"/>
        </w:rPr>
        <w:t>a.a.</w:t>
      </w:r>
      <w:proofErr w:type="spellEnd"/>
      <w:r w:rsidRPr="00E36181">
        <w:rPr>
          <w:rFonts w:ascii="Arial" w:eastAsia="Arial" w:hAnsi="Arial" w:cs="Arial"/>
          <w:b/>
          <w:sz w:val="20"/>
          <w:szCs w:val="20"/>
        </w:rPr>
        <w:t xml:space="preserve"> 202</w:t>
      </w:r>
      <w:r w:rsidR="00E36181" w:rsidRPr="00E36181">
        <w:rPr>
          <w:rFonts w:ascii="Arial" w:eastAsia="Arial" w:hAnsi="Arial" w:cs="Arial"/>
          <w:b/>
          <w:sz w:val="20"/>
          <w:szCs w:val="20"/>
        </w:rPr>
        <w:t>4</w:t>
      </w:r>
      <w:r w:rsidR="008D7C43">
        <w:rPr>
          <w:rFonts w:ascii="Arial" w:eastAsia="Arial" w:hAnsi="Arial" w:cs="Arial"/>
          <w:b/>
          <w:sz w:val="20"/>
          <w:szCs w:val="20"/>
        </w:rPr>
        <w:t>-2025</w:t>
      </w:r>
      <w:r>
        <w:rPr>
          <w:rFonts w:ascii="Arial" w:eastAsia="Arial" w:hAnsi="Arial" w:cs="Arial"/>
          <w:sz w:val="20"/>
          <w:szCs w:val="20"/>
        </w:rPr>
        <w:t xml:space="preserve"> per concludersi non oltre il </w:t>
      </w:r>
      <w:r w:rsidRPr="00E36181">
        <w:rPr>
          <w:rFonts w:ascii="Arial" w:eastAsia="Arial" w:hAnsi="Arial" w:cs="Arial"/>
          <w:b/>
          <w:sz w:val="20"/>
          <w:szCs w:val="20"/>
        </w:rPr>
        <w:t>31 luglio 202</w:t>
      </w:r>
      <w:r w:rsidR="00E36181" w:rsidRPr="00E36181">
        <w:rPr>
          <w:rFonts w:ascii="Arial" w:eastAsia="Arial" w:hAnsi="Arial" w:cs="Arial"/>
          <w:b/>
          <w:sz w:val="20"/>
          <w:szCs w:val="20"/>
        </w:rPr>
        <w:t>6</w:t>
      </w:r>
      <w:r>
        <w:rPr>
          <w:rFonts w:ascii="Arial" w:eastAsia="Arial" w:hAnsi="Arial" w:cs="Arial"/>
          <w:sz w:val="20"/>
          <w:szCs w:val="20"/>
        </w:rPr>
        <w:t>.</w:t>
      </w:r>
    </w:p>
    <w:p w:rsidR="00F539AD" w:rsidRDefault="00415CD3">
      <w:pPr>
        <w:spacing w:line="252" w:lineRule="auto"/>
        <w:ind w:left="6" w:right="40"/>
        <w:jc w:val="both"/>
      </w:pPr>
      <w:r>
        <w:rPr>
          <w:rFonts w:ascii="Arial" w:eastAsia="Arial" w:hAnsi="Arial" w:cs="Arial"/>
          <w:sz w:val="20"/>
          <w:szCs w:val="20"/>
        </w:rPr>
        <w:t xml:space="preserve">Gli studenti che non completano alcuna delle attività di studio previste nel </w:t>
      </w:r>
      <w:proofErr w:type="spellStart"/>
      <w:r>
        <w:rPr>
          <w:rFonts w:ascii="Arial" w:eastAsia="Arial" w:hAnsi="Arial" w:cs="Arial"/>
          <w:sz w:val="20"/>
          <w:szCs w:val="20"/>
        </w:rPr>
        <w:t>Learning</w:t>
      </w:r>
      <w:proofErr w:type="spellEnd"/>
      <w:r>
        <w:rPr>
          <w:rFonts w:ascii="Arial" w:eastAsia="Arial" w:hAnsi="Arial" w:cs="Arial"/>
          <w:sz w:val="20"/>
          <w:szCs w:val="20"/>
        </w:rPr>
        <w:t xml:space="preserve"> Agreement, che non richiedano o non ottengano alcun riconoscimento (minimo 6 CFA), devono restituire per intero i finanziamenti ricevuti.</w:t>
      </w:r>
    </w:p>
    <w:p w:rsidR="00F539AD" w:rsidRDefault="00415CD3">
      <w:pPr>
        <w:jc w:val="both"/>
        <w:rPr>
          <w:u w:val="single"/>
        </w:rPr>
      </w:pPr>
      <w:r>
        <w:rPr>
          <w:rFonts w:ascii="Arial" w:eastAsia="Arial" w:hAnsi="Arial" w:cs="Arial"/>
          <w:b/>
          <w:bCs/>
          <w:sz w:val="20"/>
          <w:szCs w:val="20"/>
          <w:u w:val="single"/>
        </w:rPr>
        <w:t>VIAGGIO E ALLOGGIO</w:t>
      </w:r>
    </w:p>
    <w:p w:rsidR="00F539AD" w:rsidRDefault="00415CD3">
      <w:pPr>
        <w:spacing w:line="240" w:lineRule="auto"/>
        <w:ind w:left="6" w:right="40"/>
        <w:jc w:val="both"/>
      </w:pPr>
      <w:r>
        <w:rPr>
          <w:rFonts w:ascii="Arial" w:eastAsia="Arial" w:hAnsi="Arial" w:cs="Arial"/>
          <w:sz w:val="20"/>
          <w:szCs w:val="20"/>
        </w:rPr>
        <w:t xml:space="preserve">Spetta al singolo studente trovare la propria sistemazione prima della partenza (anche qualora si avvalga della collaborazione degli Uffici </w:t>
      </w:r>
      <w:proofErr w:type="spellStart"/>
      <w:r>
        <w:rPr>
          <w:rFonts w:ascii="Arial" w:eastAsia="Arial" w:hAnsi="Arial" w:cs="Arial"/>
          <w:sz w:val="20"/>
          <w:szCs w:val="20"/>
        </w:rPr>
        <w:t>Erasmus</w:t>
      </w:r>
      <w:proofErr w:type="spellEnd"/>
      <w:r>
        <w:rPr>
          <w:rFonts w:ascii="Arial" w:eastAsia="Arial" w:hAnsi="Arial" w:cs="Arial"/>
          <w:sz w:val="20"/>
          <w:szCs w:val="20"/>
        </w:rPr>
        <w:t xml:space="preserve"> o Relazioni Internazionali delle Istituzioni-Partner), così come avere cura dell’organizzazione del viaggio e dell’acquisto dei relativi biglietti.</w:t>
      </w:r>
    </w:p>
    <w:p w:rsidR="00F539AD" w:rsidRDefault="00415CD3">
      <w:pPr>
        <w:ind w:left="6"/>
        <w:jc w:val="both"/>
        <w:rPr>
          <w:u w:val="single"/>
        </w:rPr>
      </w:pPr>
      <w:r>
        <w:rPr>
          <w:rFonts w:ascii="Arial" w:eastAsia="Arial" w:hAnsi="Arial" w:cs="Arial"/>
          <w:b/>
          <w:bCs/>
          <w:sz w:val="20"/>
          <w:szCs w:val="20"/>
          <w:u w:val="single"/>
        </w:rPr>
        <w:t xml:space="preserve">RIENTRI ANTICIPATI O PROLUNGAMENTO DEL PERIODO </w:t>
      </w:r>
      <w:proofErr w:type="spellStart"/>
      <w:r>
        <w:rPr>
          <w:rFonts w:ascii="Arial" w:eastAsia="Arial" w:hAnsi="Arial" w:cs="Arial"/>
          <w:b/>
          <w:bCs/>
          <w:sz w:val="20"/>
          <w:szCs w:val="20"/>
          <w:u w:val="single"/>
        </w:rPr>
        <w:t>DI</w:t>
      </w:r>
      <w:proofErr w:type="spellEnd"/>
      <w:r>
        <w:rPr>
          <w:rFonts w:ascii="Arial" w:eastAsia="Arial" w:hAnsi="Arial" w:cs="Arial"/>
          <w:b/>
          <w:bCs/>
          <w:sz w:val="20"/>
          <w:szCs w:val="20"/>
          <w:u w:val="single"/>
        </w:rPr>
        <w:t xml:space="preserve"> MOBILITA'</w:t>
      </w:r>
    </w:p>
    <w:p w:rsidR="00F539AD" w:rsidRDefault="00415CD3">
      <w:pPr>
        <w:spacing w:line="235" w:lineRule="auto"/>
        <w:ind w:left="6" w:right="40"/>
        <w:jc w:val="both"/>
      </w:pPr>
      <w:r>
        <w:rPr>
          <w:rFonts w:ascii="Arial" w:eastAsia="Arial" w:hAnsi="Arial" w:cs="Arial"/>
          <w:sz w:val="20"/>
          <w:szCs w:val="20"/>
        </w:rPr>
        <w:t xml:space="preserve">Per il periodo di permanenza all’estero, lo studente è tenuto ad effettuare il soggiorno all’estero per l’intera durata concordata. Se intende rientrare anticipatamente, interrompendo il periodo di soggiorno indicato nel contratto, deve darne immediata comunicazione, in forma scritta, all’Ufficio </w:t>
      </w:r>
      <w:proofErr w:type="spellStart"/>
      <w:r>
        <w:rPr>
          <w:rFonts w:ascii="Arial" w:eastAsia="Arial" w:hAnsi="Arial" w:cs="Arial"/>
          <w:sz w:val="20"/>
          <w:szCs w:val="20"/>
        </w:rPr>
        <w:t>Erasmus</w:t>
      </w:r>
      <w:proofErr w:type="spellEnd"/>
      <w:r>
        <w:rPr>
          <w:rFonts w:ascii="Arial" w:eastAsia="Arial" w:hAnsi="Arial" w:cs="Arial"/>
          <w:sz w:val="20"/>
          <w:szCs w:val="20"/>
        </w:rPr>
        <w:t xml:space="preserve"> del Politecnico delle arti e se la borsa di studio gli è già stata accreditata, deve restituire l’importo corrispondente alle mensilità di studio non realizzate.</w:t>
      </w:r>
    </w:p>
    <w:p w:rsidR="00F539AD" w:rsidRDefault="00415CD3">
      <w:pPr>
        <w:spacing w:line="242" w:lineRule="auto"/>
        <w:ind w:left="6" w:right="40"/>
        <w:jc w:val="both"/>
      </w:pPr>
      <w:r>
        <w:rPr>
          <w:rFonts w:ascii="Arial" w:eastAsia="Arial" w:hAnsi="Arial" w:cs="Arial"/>
          <w:sz w:val="20"/>
          <w:szCs w:val="20"/>
        </w:rPr>
        <w:t xml:space="preserve">Se lo studente intende prolungare il proprio soggiorno </w:t>
      </w:r>
      <w:proofErr w:type="spellStart"/>
      <w:r>
        <w:rPr>
          <w:rFonts w:ascii="Arial" w:eastAsia="Arial" w:hAnsi="Arial" w:cs="Arial"/>
          <w:sz w:val="20"/>
          <w:szCs w:val="20"/>
        </w:rPr>
        <w:t>Erasmus</w:t>
      </w:r>
      <w:proofErr w:type="spellEnd"/>
      <w:r>
        <w:rPr>
          <w:rFonts w:ascii="Arial" w:eastAsia="Arial" w:hAnsi="Arial" w:cs="Arial"/>
          <w:sz w:val="20"/>
          <w:szCs w:val="20"/>
        </w:rPr>
        <w:t xml:space="preserve"> per il completamento del proprio progetto di studio, deve darne immediata comunicazione scritta al responsabile </w:t>
      </w:r>
      <w:proofErr w:type="spellStart"/>
      <w:r>
        <w:rPr>
          <w:rFonts w:ascii="Arial" w:eastAsia="Arial" w:hAnsi="Arial" w:cs="Arial"/>
          <w:sz w:val="20"/>
          <w:szCs w:val="20"/>
        </w:rPr>
        <w:t>Erasmus</w:t>
      </w:r>
      <w:proofErr w:type="spellEnd"/>
      <w:r>
        <w:rPr>
          <w:rFonts w:ascii="Arial" w:eastAsia="Arial" w:hAnsi="Arial" w:cs="Arial"/>
          <w:sz w:val="20"/>
          <w:szCs w:val="20"/>
        </w:rPr>
        <w:t xml:space="preserve"> (</w:t>
      </w:r>
      <w:r>
        <w:rPr>
          <w:rFonts w:ascii="Arial" w:eastAsia="Arial" w:hAnsi="Arial" w:cs="Arial"/>
          <w:color w:val="0000FF"/>
          <w:sz w:val="20"/>
          <w:szCs w:val="20"/>
        </w:rPr>
        <w:t>erasmus@accademiabellearti.bg.it</w:t>
      </w:r>
      <w:r>
        <w:rPr>
          <w:rFonts w:ascii="Arial" w:eastAsia="Arial" w:hAnsi="Arial" w:cs="Arial"/>
          <w:sz w:val="20"/>
          <w:szCs w:val="20"/>
        </w:rPr>
        <w:t>) almeno un mese prima del previsto rientro e il prolungamento deve essere accordato sia dall’Istituto di provenienza che da quello ospitante. Può essere concesso se non vi sono interruzioni tra il periodo di studio già autorizzato e quello per il quale si chiede il prolungamento e se l’intero periodo di studio non supera complessivamente i 12 mesi e se termina entro il 31 luglio 2025.</w:t>
      </w:r>
    </w:p>
    <w:p w:rsidR="00F539AD" w:rsidRDefault="00415CD3">
      <w:pPr>
        <w:spacing w:line="252" w:lineRule="auto"/>
        <w:ind w:left="6" w:right="40"/>
        <w:jc w:val="both"/>
      </w:pPr>
      <w:r>
        <w:rPr>
          <w:rFonts w:ascii="Arial" w:eastAsia="Arial" w:hAnsi="Arial" w:cs="Arial"/>
          <w:sz w:val="20"/>
          <w:szCs w:val="20"/>
        </w:rPr>
        <w:t xml:space="preserve">Nel caso in cui il Politecnico non avesse la possibilità di finanziare il prolungamento con mensilità aggiuntive, potrà accordarlo concedendo allo studente il solo “status </w:t>
      </w:r>
      <w:proofErr w:type="spellStart"/>
      <w:r>
        <w:rPr>
          <w:rFonts w:ascii="Arial" w:eastAsia="Arial" w:hAnsi="Arial" w:cs="Arial"/>
          <w:sz w:val="20"/>
          <w:szCs w:val="20"/>
        </w:rPr>
        <w:t>Erasmus+</w:t>
      </w:r>
      <w:proofErr w:type="spellEnd"/>
      <w:r>
        <w:rPr>
          <w:rFonts w:ascii="Arial" w:eastAsia="Arial" w:hAnsi="Arial" w:cs="Arial"/>
          <w:sz w:val="20"/>
          <w:szCs w:val="20"/>
        </w:rPr>
        <w:t>” (mensilità in mobilità autorizzate ma non finanziate).</w:t>
      </w:r>
    </w:p>
    <w:p w:rsidR="00F539AD" w:rsidRDefault="00415CD3">
      <w:pPr>
        <w:jc w:val="both"/>
      </w:pPr>
      <w:r>
        <w:rPr>
          <w:rFonts w:ascii="Arial" w:eastAsia="Arial" w:hAnsi="Arial" w:cs="Arial"/>
          <w:b/>
          <w:bCs/>
          <w:sz w:val="20"/>
          <w:szCs w:val="20"/>
          <w:u w:val="single"/>
        </w:rPr>
        <w:t xml:space="preserve">REQUISITI </w:t>
      </w:r>
      <w:proofErr w:type="spellStart"/>
      <w:r>
        <w:rPr>
          <w:rFonts w:ascii="Arial" w:eastAsia="Arial" w:hAnsi="Arial" w:cs="Arial"/>
          <w:b/>
          <w:bCs/>
          <w:sz w:val="20"/>
          <w:szCs w:val="20"/>
          <w:u w:val="single"/>
        </w:rPr>
        <w:t>DI</w:t>
      </w:r>
      <w:proofErr w:type="spellEnd"/>
      <w:r>
        <w:rPr>
          <w:rFonts w:ascii="Arial" w:eastAsia="Arial" w:hAnsi="Arial" w:cs="Arial"/>
          <w:b/>
          <w:bCs/>
          <w:sz w:val="20"/>
          <w:szCs w:val="20"/>
          <w:u w:val="single"/>
        </w:rPr>
        <w:t xml:space="preserve"> PRESENTAZIONE DELLA DOMANDA</w:t>
      </w:r>
    </w:p>
    <w:p w:rsidR="00F539AD" w:rsidRDefault="00415CD3">
      <w:pPr>
        <w:jc w:val="both"/>
      </w:pPr>
      <w:r>
        <w:rPr>
          <w:rFonts w:ascii="Arial" w:eastAsia="Arial" w:hAnsi="Arial" w:cs="Arial"/>
          <w:sz w:val="20"/>
          <w:szCs w:val="20"/>
        </w:rPr>
        <w:t>Possono partecipare:</w:t>
      </w:r>
    </w:p>
    <w:p w:rsidR="00F539AD" w:rsidRDefault="00415CD3">
      <w:pPr>
        <w:numPr>
          <w:ilvl w:val="0"/>
          <w:numId w:val="2"/>
        </w:numPr>
        <w:tabs>
          <w:tab w:val="left" w:pos="126"/>
        </w:tabs>
        <w:ind w:left="126" w:hanging="126"/>
        <w:jc w:val="both"/>
      </w:pPr>
      <w:r>
        <w:rPr>
          <w:rFonts w:ascii="Arial" w:eastAsia="Arial" w:hAnsi="Arial" w:cs="Arial"/>
          <w:sz w:val="20"/>
          <w:szCs w:val="20"/>
        </w:rPr>
        <w:t>Gli studenti iscritti presso il Politecnico delle arti e in regola con il pagamento delle tasse.</w:t>
      </w:r>
    </w:p>
    <w:p w:rsidR="00F539AD" w:rsidRDefault="00415CD3">
      <w:pPr>
        <w:numPr>
          <w:ilvl w:val="0"/>
          <w:numId w:val="2"/>
        </w:numPr>
        <w:tabs>
          <w:tab w:val="left" w:pos="138"/>
        </w:tabs>
        <w:ind w:left="6" w:hanging="6"/>
        <w:jc w:val="both"/>
      </w:pPr>
      <w:r>
        <w:rPr>
          <w:rFonts w:ascii="Arial" w:eastAsia="Arial" w:hAnsi="Arial" w:cs="Arial"/>
          <w:sz w:val="20"/>
          <w:szCs w:val="20"/>
        </w:rPr>
        <w:t xml:space="preserve">Gli studenti di tutte le nazionalità, sia cittadini di uno Stato Membro dell’Unione Europea o di uno dei Paesi partecipanti al Programma </w:t>
      </w:r>
      <w:proofErr w:type="spellStart"/>
      <w:r>
        <w:rPr>
          <w:rFonts w:ascii="Arial" w:eastAsia="Arial" w:hAnsi="Arial" w:cs="Arial"/>
          <w:sz w:val="20"/>
          <w:szCs w:val="20"/>
        </w:rPr>
        <w:t>Erasmus+</w:t>
      </w:r>
      <w:proofErr w:type="spellEnd"/>
      <w:r>
        <w:rPr>
          <w:rFonts w:ascii="Arial" w:eastAsia="Arial" w:hAnsi="Arial" w:cs="Arial"/>
          <w:sz w:val="20"/>
          <w:szCs w:val="20"/>
        </w:rPr>
        <w:t>), che provenienti da Paesi non Comunitari, purché in regola con il permesso di soggiorno.</w:t>
      </w:r>
    </w:p>
    <w:p w:rsidR="00F539AD" w:rsidRDefault="00415CD3">
      <w:pPr>
        <w:numPr>
          <w:ilvl w:val="0"/>
          <w:numId w:val="2"/>
        </w:numPr>
        <w:tabs>
          <w:tab w:val="left" w:pos="126"/>
        </w:tabs>
        <w:ind w:left="126" w:hanging="126"/>
        <w:jc w:val="both"/>
      </w:pPr>
      <w:r>
        <w:rPr>
          <w:rFonts w:ascii="Arial" w:eastAsia="Arial" w:hAnsi="Arial" w:cs="Arial"/>
          <w:sz w:val="20"/>
          <w:szCs w:val="20"/>
        </w:rPr>
        <w:t>Gli studenti in possesso di adeguata competenza linguistica (vedi paragrafo).</w:t>
      </w:r>
    </w:p>
    <w:p w:rsidR="00F539AD" w:rsidRDefault="00415CD3">
      <w:pPr>
        <w:tabs>
          <w:tab w:val="left" w:pos="9620"/>
        </w:tabs>
        <w:spacing w:line="252" w:lineRule="auto"/>
        <w:ind w:left="6" w:right="3380"/>
        <w:jc w:val="both"/>
      </w:pPr>
      <w:r>
        <w:rPr>
          <w:rFonts w:ascii="Arial" w:eastAsia="Arial" w:hAnsi="Arial" w:cs="Arial"/>
          <w:sz w:val="20"/>
          <w:szCs w:val="20"/>
        </w:rPr>
        <w:t>Non possono partecipare:</w:t>
      </w:r>
    </w:p>
    <w:p w:rsidR="00F539AD" w:rsidRDefault="00415CD3">
      <w:pPr>
        <w:numPr>
          <w:ilvl w:val="0"/>
          <w:numId w:val="3"/>
        </w:numPr>
        <w:tabs>
          <w:tab w:val="left" w:pos="126"/>
        </w:tabs>
        <w:ind w:left="126" w:hanging="126"/>
        <w:jc w:val="both"/>
      </w:pPr>
      <w:r>
        <w:rPr>
          <w:rFonts w:ascii="Arial" w:eastAsia="Arial" w:hAnsi="Arial" w:cs="Arial"/>
          <w:sz w:val="20"/>
          <w:szCs w:val="20"/>
        </w:rPr>
        <w:t>Gli studenti beneficiari di un'altra borsa di studio comunitario per l’estero;</w:t>
      </w:r>
    </w:p>
    <w:p w:rsidR="00F539AD" w:rsidRDefault="00415CD3">
      <w:pPr>
        <w:numPr>
          <w:ilvl w:val="0"/>
          <w:numId w:val="3"/>
        </w:numPr>
        <w:tabs>
          <w:tab w:val="left" w:pos="126"/>
        </w:tabs>
        <w:ind w:left="126" w:hanging="126"/>
        <w:jc w:val="both"/>
      </w:pPr>
      <w:r>
        <w:rPr>
          <w:rFonts w:ascii="Arial" w:eastAsia="Arial" w:hAnsi="Arial" w:cs="Arial"/>
          <w:sz w:val="20"/>
          <w:szCs w:val="20"/>
        </w:rPr>
        <w:t>Gli studenti non regolarmente iscritti e/o non in possesso del permesso di soggiorno.</w:t>
      </w:r>
    </w:p>
    <w:p w:rsidR="00F539AD" w:rsidRDefault="00415CD3">
      <w:pPr>
        <w:ind w:left="6"/>
        <w:jc w:val="both"/>
        <w:rPr>
          <w:u w:val="single"/>
        </w:rPr>
      </w:pPr>
      <w:r>
        <w:rPr>
          <w:rFonts w:ascii="Arial" w:eastAsia="Arial" w:hAnsi="Arial" w:cs="Arial"/>
          <w:b/>
          <w:bCs/>
          <w:sz w:val="20"/>
          <w:szCs w:val="20"/>
          <w:u w:val="single"/>
        </w:rPr>
        <w:t>SCELTA DELLA DESTINAZIONE</w:t>
      </w:r>
    </w:p>
    <w:p w:rsidR="00F539AD" w:rsidRDefault="00415CD3">
      <w:pPr>
        <w:spacing w:line="242" w:lineRule="auto"/>
        <w:jc w:val="both"/>
      </w:pPr>
      <w:r>
        <w:rPr>
          <w:rFonts w:ascii="Arial" w:eastAsia="Arial" w:hAnsi="Arial" w:cs="Arial"/>
          <w:sz w:val="20"/>
          <w:szCs w:val="20"/>
        </w:rPr>
        <w:t xml:space="preserve">La scelta delle destinazioni (nella candidatura vanno obbligatoriamente indicate 2 sedi) deve avvenire sulla base dell’elenco degli Istituti-Partner e deve cadere su un paese differente da quello di residenza, cittadinanza o appartenenza del candidato. La mobilità </w:t>
      </w:r>
      <w:proofErr w:type="spellStart"/>
      <w:r>
        <w:rPr>
          <w:rFonts w:ascii="Arial" w:eastAsia="Arial" w:hAnsi="Arial" w:cs="Arial"/>
          <w:sz w:val="20"/>
          <w:szCs w:val="20"/>
        </w:rPr>
        <w:t>Erasmus+</w:t>
      </w:r>
      <w:proofErr w:type="spellEnd"/>
      <w:r>
        <w:rPr>
          <w:rFonts w:ascii="Arial" w:eastAsia="Arial" w:hAnsi="Arial" w:cs="Arial"/>
          <w:sz w:val="20"/>
          <w:szCs w:val="20"/>
        </w:rPr>
        <w:t xml:space="preserve"> per studio si svolgerà in un’unica sede per l'A/A indicato nel presente bando.</w:t>
      </w:r>
    </w:p>
    <w:p w:rsidR="00F539AD" w:rsidRDefault="00415CD3">
      <w:pPr>
        <w:spacing w:line="242" w:lineRule="auto"/>
        <w:ind w:left="6"/>
        <w:jc w:val="both"/>
      </w:pPr>
      <w:bookmarkStart w:id="1" w:name="_GoBack"/>
      <w:bookmarkEnd w:id="1"/>
      <w:r>
        <w:rPr>
          <w:rFonts w:ascii="Arial" w:eastAsia="Arial" w:hAnsi="Arial" w:cs="Arial"/>
          <w:b/>
          <w:bCs/>
          <w:sz w:val="20"/>
          <w:szCs w:val="20"/>
        </w:rPr>
        <w:t>NOTA BENE</w:t>
      </w:r>
    </w:p>
    <w:p w:rsidR="00F539AD" w:rsidRDefault="00415CD3">
      <w:pPr>
        <w:ind w:left="6"/>
        <w:jc w:val="both"/>
      </w:pPr>
      <w:r>
        <w:rPr>
          <w:rFonts w:ascii="Arial" w:eastAsia="Arial" w:hAnsi="Arial" w:cs="Arial"/>
          <w:sz w:val="20"/>
          <w:szCs w:val="20"/>
        </w:rPr>
        <w:lastRenderedPageBreak/>
        <w:t xml:space="preserve">Dopo la selezione, per tutti i vincitori della selezione è necessario presentare una </w:t>
      </w:r>
      <w:r>
        <w:rPr>
          <w:rFonts w:ascii="Arial" w:eastAsia="Arial" w:hAnsi="Arial" w:cs="Arial"/>
          <w:b/>
          <w:bCs/>
          <w:sz w:val="20"/>
          <w:szCs w:val="20"/>
        </w:rPr>
        <w:t>domanda di ammissione</w:t>
      </w:r>
      <w:r>
        <w:rPr>
          <w:rFonts w:ascii="Arial" w:eastAsia="Arial" w:hAnsi="Arial" w:cs="Arial"/>
          <w:sz w:val="20"/>
          <w:szCs w:val="20"/>
        </w:rPr>
        <w:t xml:space="preserve"> </w:t>
      </w:r>
      <w:r>
        <w:rPr>
          <w:rFonts w:ascii="Arial" w:eastAsia="Arial" w:hAnsi="Arial" w:cs="Arial"/>
          <w:b/>
          <w:bCs/>
          <w:sz w:val="20"/>
          <w:szCs w:val="20"/>
        </w:rPr>
        <w:t>(</w:t>
      </w:r>
      <w:proofErr w:type="spellStart"/>
      <w:r>
        <w:rPr>
          <w:rFonts w:ascii="Arial" w:eastAsia="Arial" w:hAnsi="Arial" w:cs="Arial"/>
          <w:b/>
          <w:bCs/>
          <w:i/>
          <w:iCs/>
          <w:sz w:val="20"/>
          <w:szCs w:val="20"/>
        </w:rPr>
        <w:t>application</w:t>
      </w:r>
      <w:proofErr w:type="spellEnd"/>
      <w:r>
        <w:rPr>
          <w:rFonts w:ascii="Arial" w:eastAsia="Arial" w:hAnsi="Arial" w:cs="Arial"/>
          <w:b/>
          <w:bCs/>
          <w:sz w:val="20"/>
          <w:szCs w:val="20"/>
        </w:rPr>
        <w:t xml:space="preserve">) all'Istituzione-Partner di destinazione, con le modalità richieste dalle singole sedi ed entro le scadenze tassativamente date dalle Istituzioni stesse. </w:t>
      </w:r>
      <w:r>
        <w:rPr>
          <w:rFonts w:ascii="Arial" w:eastAsia="Arial" w:hAnsi="Arial" w:cs="Arial"/>
          <w:sz w:val="20"/>
          <w:szCs w:val="20"/>
        </w:rPr>
        <w:t>Occorre infine attendere l’accettazione da</w:t>
      </w:r>
      <w:r>
        <w:rPr>
          <w:rFonts w:ascii="Arial" w:eastAsia="Arial" w:hAnsi="Arial" w:cs="Arial"/>
          <w:b/>
          <w:bCs/>
          <w:sz w:val="20"/>
          <w:szCs w:val="20"/>
        </w:rPr>
        <w:t xml:space="preserve"> </w:t>
      </w:r>
      <w:r>
        <w:rPr>
          <w:rFonts w:ascii="Arial" w:eastAsia="Arial" w:hAnsi="Arial" w:cs="Arial"/>
          <w:sz w:val="20"/>
          <w:szCs w:val="20"/>
        </w:rPr>
        <w:t>parte delle Istituzioni ospitanti. Senza la suddetta accettazione non si potrà usufruire realmente del posto in mobilità.</w:t>
      </w:r>
    </w:p>
    <w:p w:rsidR="00F539AD" w:rsidRDefault="00415CD3">
      <w:pPr>
        <w:spacing w:line="240" w:lineRule="auto"/>
        <w:jc w:val="both"/>
      </w:pPr>
      <w:r>
        <w:rPr>
          <w:rFonts w:ascii="Arial" w:eastAsia="Arial" w:hAnsi="Arial" w:cs="Arial"/>
          <w:sz w:val="20"/>
          <w:szCs w:val="20"/>
        </w:rPr>
        <w:t xml:space="preserve">Anche se c’è un accordo-scambio, le Accademie/Università partner possono non accettare lo studente selezionato. La decisione finale per l’accettazione dello studente </w:t>
      </w:r>
      <w:proofErr w:type="spellStart"/>
      <w:r>
        <w:rPr>
          <w:rFonts w:ascii="Arial" w:eastAsia="Arial" w:hAnsi="Arial" w:cs="Arial"/>
          <w:sz w:val="20"/>
          <w:szCs w:val="20"/>
        </w:rPr>
        <w:t>Erasmus+</w:t>
      </w:r>
      <w:proofErr w:type="spellEnd"/>
      <w:r>
        <w:rPr>
          <w:rFonts w:ascii="Arial" w:eastAsia="Arial" w:hAnsi="Arial" w:cs="Arial"/>
          <w:sz w:val="20"/>
          <w:szCs w:val="20"/>
        </w:rPr>
        <w:t xml:space="preserve"> spetta sempre alle Istituzioni ospitanti.</w:t>
      </w:r>
    </w:p>
    <w:p w:rsidR="00F539AD" w:rsidRDefault="00415CD3">
      <w:pPr>
        <w:spacing w:line="242" w:lineRule="auto"/>
        <w:ind w:left="6"/>
        <w:jc w:val="both"/>
      </w:pPr>
      <w:r>
        <w:rPr>
          <w:rFonts w:ascii="Arial" w:eastAsia="Arial" w:hAnsi="Arial" w:cs="Arial"/>
          <w:sz w:val="20"/>
          <w:szCs w:val="20"/>
        </w:rPr>
        <w:t xml:space="preserve">Nella scelta delle destinazioni, prima di fare la domanda </w:t>
      </w:r>
      <w:proofErr w:type="spellStart"/>
      <w:r>
        <w:rPr>
          <w:rFonts w:ascii="Arial" w:eastAsia="Arial" w:hAnsi="Arial" w:cs="Arial"/>
          <w:sz w:val="20"/>
          <w:szCs w:val="20"/>
        </w:rPr>
        <w:t>Erasmus</w:t>
      </w:r>
      <w:proofErr w:type="spellEnd"/>
      <w:r>
        <w:rPr>
          <w:rFonts w:ascii="Arial" w:eastAsia="Arial" w:hAnsi="Arial" w:cs="Arial"/>
          <w:sz w:val="20"/>
          <w:szCs w:val="20"/>
        </w:rPr>
        <w:t xml:space="preserve">, bisognerà </w:t>
      </w:r>
      <w:r>
        <w:rPr>
          <w:rFonts w:ascii="Arial" w:eastAsia="Arial" w:hAnsi="Arial" w:cs="Arial"/>
          <w:b/>
          <w:bCs/>
          <w:sz w:val="20"/>
          <w:szCs w:val="20"/>
        </w:rPr>
        <w:t>controllare attentamente che</w:t>
      </w:r>
      <w:r>
        <w:rPr>
          <w:rFonts w:ascii="Arial" w:eastAsia="Arial" w:hAnsi="Arial" w:cs="Arial"/>
          <w:sz w:val="20"/>
          <w:szCs w:val="20"/>
        </w:rPr>
        <w:t xml:space="preserve"> </w:t>
      </w:r>
      <w:r>
        <w:rPr>
          <w:rFonts w:ascii="Arial" w:eastAsia="Arial" w:hAnsi="Arial" w:cs="Arial"/>
          <w:b/>
          <w:bCs/>
          <w:sz w:val="20"/>
          <w:szCs w:val="20"/>
        </w:rPr>
        <w:t>il proprio progetto di studio all’estero sia compatibile con l’offerta formativa della scuola prescelta</w:t>
      </w:r>
      <w:r>
        <w:rPr>
          <w:rFonts w:ascii="Arial" w:eastAsia="Arial" w:hAnsi="Arial" w:cs="Arial"/>
          <w:sz w:val="20"/>
          <w:szCs w:val="20"/>
        </w:rPr>
        <w:t>,</w:t>
      </w:r>
      <w:r>
        <w:rPr>
          <w:rFonts w:ascii="Arial" w:eastAsia="Arial" w:hAnsi="Arial" w:cs="Arial"/>
          <w:b/>
          <w:bCs/>
          <w:sz w:val="20"/>
          <w:szCs w:val="20"/>
        </w:rPr>
        <w:t xml:space="preserve"> </w:t>
      </w:r>
      <w:r>
        <w:rPr>
          <w:rFonts w:ascii="Arial" w:eastAsia="Arial" w:hAnsi="Arial" w:cs="Arial"/>
          <w:sz w:val="20"/>
          <w:szCs w:val="20"/>
        </w:rPr>
        <w:t>consultando il sito internet perché l’eventuale incompatibilità tra il piano di studio e l’offerta didattica della sede partner è una delle ragioni di un possibile rifiuto nella selezione oppure è il motivo per cui la sede partner potrebbe non accettare il progetto di studio dello studente anche in seguito alla selezione.</w:t>
      </w:r>
    </w:p>
    <w:p w:rsidR="00F539AD" w:rsidRPr="008D7C43" w:rsidRDefault="008D7C43">
      <w:pPr>
        <w:ind w:left="6"/>
        <w:jc w:val="both"/>
        <w:rPr>
          <w:sz w:val="24"/>
          <w:u w:val="single"/>
        </w:rPr>
      </w:pPr>
      <w:r w:rsidRPr="008D7C43">
        <w:rPr>
          <w:rFonts w:ascii="Arial" w:eastAsia="Arial" w:hAnsi="Arial" w:cs="Arial"/>
          <w:b/>
          <w:bCs/>
          <w:szCs w:val="20"/>
          <w:u w:val="single"/>
        </w:rPr>
        <w:t>ATTIVITÀ DA SVOLGERE NELLA SEDE ESTERA E LEARNING AGREEMENT FOR STUDIES</w:t>
      </w:r>
    </w:p>
    <w:p w:rsidR="00F539AD" w:rsidRDefault="00415CD3">
      <w:pPr>
        <w:ind w:left="6"/>
        <w:jc w:val="both"/>
      </w:pPr>
      <w:r>
        <w:rPr>
          <w:rFonts w:ascii="Arial" w:eastAsia="Arial" w:hAnsi="Arial" w:cs="Arial"/>
          <w:sz w:val="20"/>
          <w:szCs w:val="20"/>
        </w:rPr>
        <w:t xml:space="preserve">Ai fini della candidatura è inoltre necessario fare un buon </w:t>
      </w:r>
      <w:r>
        <w:rPr>
          <w:rFonts w:ascii="Arial" w:eastAsia="Arial" w:hAnsi="Arial" w:cs="Arial"/>
          <w:b/>
          <w:bCs/>
          <w:sz w:val="20"/>
          <w:szCs w:val="20"/>
        </w:rPr>
        <w:t>progetto di studio all’estero</w:t>
      </w:r>
      <w:r>
        <w:rPr>
          <w:rFonts w:ascii="Arial" w:eastAsia="Arial" w:hAnsi="Arial" w:cs="Arial"/>
          <w:sz w:val="20"/>
          <w:szCs w:val="20"/>
        </w:rPr>
        <w:t xml:space="preserve"> indicando le motivazioni ma anche le attività </w:t>
      </w:r>
      <w:proofErr w:type="spellStart"/>
      <w:r>
        <w:rPr>
          <w:rFonts w:ascii="Arial" w:eastAsia="Arial" w:hAnsi="Arial" w:cs="Arial"/>
          <w:sz w:val="20"/>
          <w:szCs w:val="20"/>
        </w:rPr>
        <w:t>didattico-formative</w:t>
      </w:r>
      <w:proofErr w:type="spellEnd"/>
      <w:r>
        <w:rPr>
          <w:rFonts w:ascii="Arial" w:eastAsia="Arial" w:hAnsi="Arial" w:cs="Arial"/>
          <w:sz w:val="20"/>
          <w:szCs w:val="20"/>
        </w:rPr>
        <w:t xml:space="preserve"> che si intende svolgere all’estero. Queste informazioni sono indicative e non precludono la possibilità di scegliere altre attività per il piano di studio all’estero (</w:t>
      </w:r>
      <w:proofErr w:type="spellStart"/>
      <w:r>
        <w:rPr>
          <w:rFonts w:ascii="Arial" w:eastAsia="Arial" w:hAnsi="Arial" w:cs="Arial"/>
          <w:sz w:val="20"/>
          <w:szCs w:val="20"/>
        </w:rPr>
        <w:t>Learning</w:t>
      </w:r>
      <w:proofErr w:type="spellEnd"/>
      <w:r>
        <w:rPr>
          <w:rFonts w:ascii="Arial" w:eastAsia="Arial" w:hAnsi="Arial" w:cs="Arial"/>
          <w:sz w:val="20"/>
          <w:szCs w:val="20"/>
        </w:rPr>
        <w:t xml:space="preserve"> Agreement </w:t>
      </w:r>
      <w:proofErr w:type="spellStart"/>
      <w:r>
        <w:rPr>
          <w:rFonts w:ascii="Arial" w:eastAsia="Arial" w:hAnsi="Arial" w:cs="Arial"/>
          <w:sz w:val="20"/>
          <w:szCs w:val="20"/>
        </w:rPr>
        <w:t>for</w:t>
      </w:r>
      <w:proofErr w:type="spellEnd"/>
      <w:r>
        <w:rPr>
          <w:rFonts w:ascii="Arial" w:eastAsia="Arial" w:hAnsi="Arial" w:cs="Arial"/>
          <w:sz w:val="20"/>
          <w:szCs w:val="20"/>
        </w:rPr>
        <w:t xml:space="preserve"> </w:t>
      </w:r>
      <w:proofErr w:type="spellStart"/>
      <w:r>
        <w:rPr>
          <w:rFonts w:ascii="Arial" w:eastAsia="Arial" w:hAnsi="Arial" w:cs="Arial"/>
          <w:sz w:val="20"/>
          <w:szCs w:val="20"/>
        </w:rPr>
        <w:t>Studies</w:t>
      </w:r>
      <w:proofErr w:type="spellEnd"/>
      <w:r>
        <w:rPr>
          <w:rFonts w:ascii="Arial" w:eastAsia="Arial" w:hAnsi="Arial" w:cs="Arial"/>
          <w:sz w:val="20"/>
          <w:szCs w:val="20"/>
        </w:rPr>
        <w:t>) che va compilato prima della partenza e che può essere modificato dopo il proprio arrivo nella sede di destinazione per motivate ragioni.</w:t>
      </w:r>
    </w:p>
    <w:p w:rsidR="00F539AD" w:rsidRDefault="00415CD3">
      <w:pPr>
        <w:spacing w:line="235" w:lineRule="auto"/>
        <w:ind w:left="6"/>
        <w:jc w:val="both"/>
      </w:pPr>
      <w:r>
        <w:rPr>
          <w:rFonts w:ascii="Arial" w:eastAsia="Arial" w:hAnsi="Arial" w:cs="Arial"/>
          <w:sz w:val="20"/>
          <w:szCs w:val="20"/>
        </w:rPr>
        <w:t>A tale proposito si precisa che le attività consentite nel corso del periodo di mobilità sono:</w:t>
      </w:r>
    </w:p>
    <w:p w:rsidR="00F539AD" w:rsidRDefault="00F539AD" w:rsidP="00E36181">
      <w:pPr>
        <w:spacing w:after="0" w:line="1" w:lineRule="exact"/>
        <w:jc w:val="both"/>
        <w:rPr>
          <w:sz w:val="20"/>
          <w:szCs w:val="20"/>
        </w:rPr>
      </w:pPr>
    </w:p>
    <w:p w:rsidR="00F539AD" w:rsidRDefault="00415CD3" w:rsidP="00E36181">
      <w:pPr>
        <w:numPr>
          <w:ilvl w:val="0"/>
          <w:numId w:val="4"/>
        </w:numPr>
        <w:tabs>
          <w:tab w:val="left" w:pos="126"/>
        </w:tabs>
        <w:spacing w:after="0"/>
        <w:ind w:left="126" w:hanging="126"/>
        <w:jc w:val="both"/>
      </w:pPr>
      <w:r>
        <w:rPr>
          <w:rFonts w:ascii="Arial" w:eastAsia="Arial" w:hAnsi="Arial" w:cs="Arial"/>
          <w:sz w:val="20"/>
          <w:szCs w:val="20"/>
        </w:rPr>
        <w:t>attività formative (insegnamenti) e relative prove di accertamento (esami);</w:t>
      </w:r>
    </w:p>
    <w:p w:rsidR="00E36181" w:rsidRDefault="00415CD3" w:rsidP="00E36181">
      <w:pPr>
        <w:numPr>
          <w:ilvl w:val="0"/>
          <w:numId w:val="4"/>
        </w:numPr>
        <w:tabs>
          <w:tab w:val="left" w:pos="126"/>
        </w:tabs>
        <w:ind w:left="126" w:hanging="126"/>
        <w:jc w:val="both"/>
      </w:pPr>
      <w:r>
        <w:rPr>
          <w:rFonts w:ascii="Arial" w:eastAsia="Arial" w:hAnsi="Arial" w:cs="Arial"/>
          <w:sz w:val="20"/>
          <w:szCs w:val="20"/>
        </w:rPr>
        <w:t>preparazione della tesi di diploma.</w:t>
      </w:r>
    </w:p>
    <w:p w:rsidR="00F539AD" w:rsidRDefault="00415CD3">
      <w:pPr>
        <w:ind w:left="6"/>
        <w:jc w:val="both"/>
      </w:pPr>
      <w:r>
        <w:rPr>
          <w:rFonts w:ascii="Arial" w:eastAsia="Arial" w:hAnsi="Arial" w:cs="Arial"/>
          <w:b/>
          <w:bCs/>
          <w:sz w:val="20"/>
          <w:szCs w:val="20"/>
          <w:u w:val="single"/>
        </w:rPr>
        <w:t>COMPETENZE LINGUISTICHE</w:t>
      </w:r>
    </w:p>
    <w:p w:rsidR="00F539AD" w:rsidRDefault="00415CD3">
      <w:pPr>
        <w:spacing w:line="240" w:lineRule="auto"/>
        <w:ind w:left="6"/>
        <w:jc w:val="both"/>
      </w:pPr>
      <w:r>
        <w:rPr>
          <w:rFonts w:ascii="Arial" w:eastAsia="Arial" w:hAnsi="Arial" w:cs="Arial"/>
          <w:sz w:val="20"/>
          <w:szCs w:val="20"/>
        </w:rPr>
        <w:t>Alcune Istituzioni-Partner richiedono con l'</w:t>
      </w:r>
      <w:proofErr w:type="spellStart"/>
      <w:r>
        <w:rPr>
          <w:rFonts w:ascii="Arial" w:eastAsia="Arial" w:hAnsi="Arial" w:cs="Arial"/>
          <w:i/>
          <w:sz w:val="20"/>
          <w:szCs w:val="20"/>
        </w:rPr>
        <w:t>application</w:t>
      </w:r>
      <w:proofErr w:type="spellEnd"/>
      <w:r>
        <w:rPr>
          <w:rFonts w:ascii="Arial" w:eastAsia="Arial" w:hAnsi="Arial" w:cs="Arial"/>
          <w:sz w:val="20"/>
          <w:szCs w:val="20"/>
        </w:rPr>
        <w:t xml:space="preserve"> presso la propria istituzione un certificato del livello di competenza linguistica degli studenti, pertanto è necessario verificare attentamente i requisiti linguistici richiesti dall'Accademia/Università presso cui si intende svolgere un periodo </w:t>
      </w:r>
      <w:proofErr w:type="spellStart"/>
      <w:r>
        <w:rPr>
          <w:rFonts w:ascii="Arial" w:eastAsia="Arial" w:hAnsi="Arial" w:cs="Arial"/>
          <w:sz w:val="20"/>
          <w:szCs w:val="20"/>
        </w:rPr>
        <w:t>Erasmus+</w:t>
      </w:r>
      <w:proofErr w:type="spellEnd"/>
      <w:r>
        <w:rPr>
          <w:rFonts w:ascii="Arial" w:eastAsia="Arial" w:hAnsi="Arial" w:cs="Arial"/>
          <w:sz w:val="20"/>
          <w:szCs w:val="20"/>
        </w:rPr>
        <w:t>.</w:t>
      </w:r>
    </w:p>
    <w:p w:rsidR="00F539AD" w:rsidRDefault="00415CD3">
      <w:pPr>
        <w:ind w:left="6"/>
        <w:jc w:val="both"/>
      </w:pPr>
      <w:r>
        <w:rPr>
          <w:rFonts w:ascii="Arial" w:eastAsia="Arial" w:hAnsi="Arial" w:cs="Arial"/>
          <w:b/>
          <w:bCs/>
          <w:sz w:val="20"/>
          <w:szCs w:val="20"/>
        </w:rPr>
        <w:t xml:space="preserve">OLS (Online </w:t>
      </w:r>
      <w:proofErr w:type="spellStart"/>
      <w:r>
        <w:rPr>
          <w:rFonts w:ascii="Arial" w:eastAsia="Arial" w:hAnsi="Arial" w:cs="Arial"/>
          <w:b/>
          <w:bCs/>
          <w:sz w:val="20"/>
          <w:szCs w:val="20"/>
        </w:rPr>
        <w:t>Language</w:t>
      </w:r>
      <w:proofErr w:type="spellEnd"/>
      <w:r>
        <w:rPr>
          <w:rFonts w:ascii="Arial" w:eastAsia="Arial" w:hAnsi="Arial" w:cs="Arial"/>
          <w:b/>
          <w:bCs/>
          <w:sz w:val="20"/>
          <w:szCs w:val="20"/>
        </w:rPr>
        <w:t xml:space="preserve"> </w:t>
      </w:r>
      <w:proofErr w:type="spellStart"/>
      <w:r>
        <w:rPr>
          <w:rFonts w:ascii="Arial" w:eastAsia="Arial" w:hAnsi="Arial" w:cs="Arial"/>
          <w:b/>
          <w:bCs/>
          <w:sz w:val="20"/>
          <w:szCs w:val="20"/>
        </w:rPr>
        <w:t>Support</w:t>
      </w:r>
      <w:proofErr w:type="spellEnd"/>
      <w:r>
        <w:rPr>
          <w:rFonts w:ascii="Arial" w:eastAsia="Arial" w:hAnsi="Arial" w:cs="Arial"/>
          <w:b/>
          <w:bCs/>
          <w:sz w:val="20"/>
          <w:szCs w:val="20"/>
        </w:rPr>
        <w:t>)</w:t>
      </w:r>
    </w:p>
    <w:p w:rsidR="00F539AD" w:rsidRDefault="00415CD3" w:rsidP="008D7C43">
      <w:pPr>
        <w:spacing w:line="235" w:lineRule="auto"/>
        <w:jc w:val="both"/>
      </w:pPr>
      <w:r>
        <w:rPr>
          <w:rFonts w:ascii="Arial" w:eastAsia="Arial" w:hAnsi="Arial" w:cs="Arial"/>
          <w:sz w:val="20"/>
          <w:szCs w:val="20"/>
        </w:rPr>
        <w:t xml:space="preserve">Il programma </w:t>
      </w:r>
      <w:proofErr w:type="spellStart"/>
      <w:r>
        <w:rPr>
          <w:rFonts w:ascii="Arial" w:eastAsia="Arial" w:hAnsi="Arial" w:cs="Arial"/>
          <w:sz w:val="20"/>
          <w:szCs w:val="20"/>
        </w:rPr>
        <w:t>Erasmus+</w:t>
      </w:r>
      <w:proofErr w:type="spellEnd"/>
      <w:r>
        <w:rPr>
          <w:rFonts w:ascii="Arial" w:eastAsia="Arial" w:hAnsi="Arial" w:cs="Arial"/>
          <w:sz w:val="20"/>
          <w:szCs w:val="20"/>
        </w:rPr>
        <w:t xml:space="preserve"> prevede anche una preparazione linguistica per gli studenti grazie a corsi online gratuiti gestiti a livello centralizzato dalla Commissione per l’Inglese, Francese, Italiano, Tedesco, Spagnolo, Olandese, Ceco, Danese, Greco, Polacco, Portoghese e Svedese. Tale preparazione linguistica è denominata OLS (Online </w:t>
      </w:r>
      <w:proofErr w:type="spellStart"/>
      <w:r>
        <w:rPr>
          <w:rFonts w:ascii="Arial" w:eastAsia="Arial" w:hAnsi="Arial" w:cs="Arial"/>
          <w:sz w:val="20"/>
          <w:szCs w:val="20"/>
        </w:rPr>
        <w:t>Language</w:t>
      </w:r>
      <w:proofErr w:type="spellEnd"/>
      <w:r>
        <w:rPr>
          <w:rFonts w:ascii="Arial" w:eastAsia="Arial" w:hAnsi="Arial" w:cs="Arial"/>
          <w:sz w:val="20"/>
          <w:szCs w:val="20"/>
        </w:rPr>
        <w:t xml:space="preserve"> </w:t>
      </w:r>
      <w:proofErr w:type="spellStart"/>
      <w:r>
        <w:rPr>
          <w:rFonts w:ascii="Arial" w:eastAsia="Arial" w:hAnsi="Arial" w:cs="Arial"/>
          <w:sz w:val="20"/>
          <w:szCs w:val="20"/>
        </w:rPr>
        <w:t>Support</w:t>
      </w:r>
      <w:proofErr w:type="spellEnd"/>
      <w:r>
        <w:rPr>
          <w:rFonts w:ascii="Arial" w:eastAsia="Arial" w:hAnsi="Arial" w:cs="Arial"/>
          <w:sz w:val="20"/>
          <w:szCs w:val="20"/>
        </w:rPr>
        <w:t>). Prevede per tutti gli studenti - prima e a chiusura della mobilità</w:t>
      </w:r>
      <w:r w:rsidR="008D7C43">
        <w:rPr>
          <w:rFonts w:ascii="Arial" w:eastAsia="Arial" w:hAnsi="Arial" w:cs="Arial"/>
          <w:sz w:val="20"/>
          <w:szCs w:val="20"/>
        </w:rPr>
        <w:t xml:space="preserve"> l</w:t>
      </w:r>
      <w:r>
        <w:rPr>
          <w:rFonts w:ascii="Arial" w:eastAsia="Arial" w:hAnsi="Arial" w:cs="Arial"/>
          <w:sz w:val="20"/>
          <w:szCs w:val="20"/>
        </w:rPr>
        <w:t>a valutazione obbligatoria online del livello di competenza linguistica. Lo studente al quale serve migliorare il proprio livello di conoscenza linguistica (oppure lo studente che intende comunque usufruire del corso stesso per migliorare la sua padronanza della lingua) riceverà una licenza per seguire il corso di lingua online durante la sua mobilità all'estero.</w:t>
      </w:r>
    </w:p>
    <w:p w:rsidR="00F539AD" w:rsidRDefault="00415CD3">
      <w:pPr>
        <w:ind w:left="6"/>
        <w:jc w:val="both"/>
      </w:pPr>
      <w:bookmarkStart w:id="2" w:name="page4"/>
      <w:bookmarkEnd w:id="2"/>
      <w:r>
        <w:rPr>
          <w:rFonts w:ascii="Arial" w:eastAsia="Arial" w:hAnsi="Arial" w:cs="Arial"/>
          <w:sz w:val="20"/>
          <w:szCs w:val="20"/>
        </w:rPr>
        <w:t>Relativamente alla candidatura al presente bando, le competenze linguistiche possono essere:</w:t>
      </w:r>
    </w:p>
    <w:p w:rsidR="00415CD3" w:rsidRDefault="00415CD3" w:rsidP="00415CD3">
      <w:pPr>
        <w:tabs>
          <w:tab w:val="left" w:pos="185"/>
        </w:tabs>
        <w:spacing w:after="0"/>
        <w:ind w:left="6"/>
        <w:jc w:val="both"/>
        <w:rPr>
          <w:rFonts w:ascii="Arial" w:eastAsia="Arial" w:hAnsi="Arial" w:cs="Arial"/>
          <w:sz w:val="20"/>
          <w:szCs w:val="20"/>
        </w:rPr>
      </w:pPr>
      <w:r>
        <w:rPr>
          <w:rFonts w:ascii="Arial" w:eastAsia="Arial" w:hAnsi="Arial" w:cs="Arial"/>
          <w:sz w:val="20"/>
          <w:szCs w:val="20"/>
        </w:rPr>
        <w:t>- elencate nel CV (specificando i gradi di conoscenza di ciascuna lingua secondo i livelli del Quadro comune di riferimento europeo (obbligatorio):</w:t>
      </w:r>
    </w:p>
    <w:p w:rsidR="00F539AD" w:rsidRDefault="00415CD3" w:rsidP="00415CD3">
      <w:pPr>
        <w:tabs>
          <w:tab w:val="left" w:pos="185"/>
        </w:tabs>
        <w:spacing w:after="0"/>
        <w:ind w:left="6"/>
        <w:jc w:val="both"/>
      </w:pPr>
      <w:r>
        <w:rPr>
          <w:rFonts w:ascii="Arial" w:eastAsia="Arial" w:hAnsi="Arial" w:cs="Arial"/>
          <w:color w:val="0000FF"/>
          <w:sz w:val="20"/>
          <w:szCs w:val="20"/>
        </w:rPr>
        <w:t>https://it.wikipedia.org/wiki/Quadro_comune_europeo_di_riferimento_per_la_conoscenza_delle_lingue</w:t>
      </w:r>
    </w:p>
    <w:p w:rsidR="00F539AD" w:rsidRPr="00415CD3" w:rsidRDefault="00415CD3" w:rsidP="00415CD3">
      <w:pPr>
        <w:numPr>
          <w:ilvl w:val="0"/>
          <w:numId w:val="5"/>
        </w:numPr>
        <w:tabs>
          <w:tab w:val="left" w:pos="126"/>
        </w:tabs>
        <w:spacing w:after="0"/>
        <w:ind w:left="126" w:hanging="126"/>
        <w:jc w:val="both"/>
      </w:pPr>
      <w:r>
        <w:rPr>
          <w:rFonts w:ascii="Arial" w:eastAsia="Arial" w:hAnsi="Arial" w:cs="Arial"/>
          <w:sz w:val="20"/>
          <w:szCs w:val="20"/>
        </w:rPr>
        <w:t>attestate da un certificato linguistico da allegare ai documenti della domanda (facoltativo).</w:t>
      </w:r>
    </w:p>
    <w:p w:rsidR="00415CD3" w:rsidRDefault="00415CD3" w:rsidP="00415CD3">
      <w:pPr>
        <w:tabs>
          <w:tab w:val="left" w:pos="126"/>
        </w:tabs>
        <w:spacing w:after="0"/>
        <w:ind w:left="126"/>
        <w:jc w:val="both"/>
      </w:pPr>
    </w:p>
    <w:p w:rsidR="00F539AD" w:rsidRDefault="00415CD3">
      <w:pPr>
        <w:tabs>
          <w:tab w:val="left" w:pos="0"/>
          <w:tab w:val="left" w:pos="9639"/>
        </w:tabs>
        <w:spacing w:line="252" w:lineRule="auto"/>
        <w:ind w:left="6" w:right="-303"/>
        <w:jc w:val="both"/>
        <w:rPr>
          <w:u w:val="single"/>
        </w:rPr>
      </w:pPr>
      <w:r>
        <w:rPr>
          <w:rFonts w:ascii="Arial" w:eastAsia="Arial" w:hAnsi="Arial" w:cs="Arial"/>
          <w:b/>
          <w:bCs/>
          <w:sz w:val="20"/>
          <w:szCs w:val="20"/>
          <w:u w:val="single"/>
        </w:rPr>
        <w:t xml:space="preserve">MODALITA’ </w:t>
      </w:r>
      <w:proofErr w:type="spellStart"/>
      <w:r>
        <w:rPr>
          <w:rFonts w:ascii="Arial" w:eastAsia="Arial" w:hAnsi="Arial" w:cs="Arial"/>
          <w:b/>
          <w:bCs/>
          <w:sz w:val="20"/>
          <w:szCs w:val="20"/>
          <w:u w:val="single"/>
        </w:rPr>
        <w:t>DI</w:t>
      </w:r>
      <w:proofErr w:type="spellEnd"/>
      <w:r>
        <w:rPr>
          <w:rFonts w:ascii="Arial" w:eastAsia="Arial" w:hAnsi="Arial" w:cs="Arial"/>
          <w:b/>
          <w:bCs/>
          <w:sz w:val="20"/>
          <w:szCs w:val="20"/>
          <w:u w:val="single"/>
        </w:rPr>
        <w:t xml:space="preserve"> PRESENTAZIONE DELLA DOMANDA</w:t>
      </w:r>
    </w:p>
    <w:p w:rsidR="00F539AD" w:rsidRPr="00415CD3" w:rsidRDefault="00415CD3" w:rsidP="00415CD3">
      <w:pPr>
        <w:tabs>
          <w:tab w:val="left" w:pos="179"/>
        </w:tabs>
        <w:spacing w:line="235" w:lineRule="auto"/>
        <w:ind w:left="6" w:right="300"/>
        <w:jc w:val="both"/>
      </w:pPr>
      <w:r>
        <w:rPr>
          <w:rFonts w:ascii="Arial" w:eastAsia="Arial" w:hAnsi="Arial" w:cs="Arial"/>
          <w:bCs/>
          <w:sz w:val="20"/>
          <w:szCs w:val="20"/>
        </w:rPr>
        <w:t>C</w:t>
      </w:r>
      <w:r w:rsidRPr="00415CD3">
        <w:rPr>
          <w:rFonts w:ascii="Arial" w:eastAsia="Arial" w:hAnsi="Arial" w:cs="Arial"/>
          <w:bCs/>
          <w:sz w:val="20"/>
          <w:szCs w:val="20"/>
        </w:rPr>
        <w:t xml:space="preserve">ompilare il modulo di candidatura </w:t>
      </w:r>
      <w:r w:rsidRPr="00415CD3">
        <w:rPr>
          <w:rFonts w:ascii="Arial" w:eastAsia="Arial" w:hAnsi="Arial" w:cs="Arial"/>
          <w:sz w:val="20"/>
          <w:szCs w:val="20"/>
        </w:rPr>
        <w:t>elettronicamente e non a mano;</w:t>
      </w:r>
    </w:p>
    <w:p w:rsidR="008D7C43" w:rsidRDefault="008D7C43" w:rsidP="00415CD3">
      <w:pPr>
        <w:tabs>
          <w:tab w:val="left" w:pos="166"/>
        </w:tabs>
        <w:jc w:val="both"/>
        <w:rPr>
          <w:rFonts w:ascii="Arial" w:eastAsia="Arial" w:hAnsi="Arial" w:cs="Arial"/>
          <w:b/>
          <w:bCs/>
          <w:sz w:val="20"/>
          <w:szCs w:val="20"/>
        </w:rPr>
      </w:pPr>
    </w:p>
    <w:p w:rsidR="008D7C43" w:rsidRDefault="008D7C43" w:rsidP="00415CD3">
      <w:pPr>
        <w:tabs>
          <w:tab w:val="left" w:pos="166"/>
        </w:tabs>
        <w:jc w:val="both"/>
        <w:rPr>
          <w:rFonts w:ascii="Arial" w:eastAsia="Arial" w:hAnsi="Arial" w:cs="Arial"/>
          <w:b/>
          <w:bCs/>
          <w:sz w:val="20"/>
          <w:szCs w:val="20"/>
        </w:rPr>
      </w:pPr>
    </w:p>
    <w:p w:rsidR="00F539AD" w:rsidRDefault="00415CD3" w:rsidP="00415CD3">
      <w:pPr>
        <w:tabs>
          <w:tab w:val="left" w:pos="166"/>
        </w:tabs>
        <w:jc w:val="both"/>
        <w:rPr>
          <w:rFonts w:ascii="Arial" w:eastAsia="Arial" w:hAnsi="Arial" w:cs="Arial"/>
          <w:b/>
          <w:bCs/>
          <w:sz w:val="20"/>
          <w:szCs w:val="20"/>
        </w:rPr>
      </w:pPr>
      <w:r>
        <w:rPr>
          <w:rFonts w:ascii="Arial" w:eastAsia="Arial" w:hAnsi="Arial" w:cs="Arial"/>
          <w:b/>
          <w:bCs/>
          <w:sz w:val="20"/>
          <w:szCs w:val="20"/>
        </w:rPr>
        <w:lastRenderedPageBreak/>
        <w:t>ALLEGARE:</w:t>
      </w:r>
    </w:p>
    <w:p w:rsidR="008D7C43" w:rsidRDefault="008D7C43" w:rsidP="00415CD3">
      <w:pPr>
        <w:numPr>
          <w:ilvl w:val="0"/>
          <w:numId w:val="10"/>
        </w:numPr>
        <w:tabs>
          <w:tab w:val="left" w:pos="226"/>
        </w:tabs>
        <w:jc w:val="both"/>
      </w:pPr>
      <w:r>
        <w:rPr>
          <w:rFonts w:ascii="Arial" w:eastAsia="Arial" w:hAnsi="Arial" w:cs="Arial"/>
          <w:sz w:val="20"/>
          <w:szCs w:val="20"/>
        </w:rPr>
        <w:t xml:space="preserve">Il modulo di candidatura relativo alla presente </w:t>
      </w:r>
      <w:proofErr w:type="spellStart"/>
      <w:r>
        <w:rPr>
          <w:rFonts w:ascii="Arial" w:eastAsia="Arial" w:hAnsi="Arial" w:cs="Arial"/>
          <w:sz w:val="20"/>
          <w:szCs w:val="20"/>
        </w:rPr>
        <w:t>call</w:t>
      </w:r>
      <w:proofErr w:type="spellEnd"/>
      <w:r>
        <w:rPr>
          <w:rFonts w:ascii="Arial" w:eastAsia="Arial" w:hAnsi="Arial" w:cs="Arial"/>
          <w:sz w:val="20"/>
          <w:szCs w:val="20"/>
        </w:rPr>
        <w:t>;</w:t>
      </w:r>
    </w:p>
    <w:p w:rsidR="00F539AD" w:rsidRDefault="00415CD3" w:rsidP="00415CD3">
      <w:pPr>
        <w:numPr>
          <w:ilvl w:val="0"/>
          <w:numId w:val="10"/>
        </w:numPr>
        <w:tabs>
          <w:tab w:val="left" w:pos="226"/>
        </w:tabs>
        <w:jc w:val="both"/>
      </w:pPr>
      <w:r>
        <w:rPr>
          <w:rFonts w:ascii="Arial" w:eastAsia="Arial" w:hAnsi="Arial" w:cs="Arial"/>
          <w:sz w:val="20"/>
          <w:szCs w:val="20"/>
        </w:rPr>
        <w:t>Lettera di motivazione (italiano o inglese);</w:t>
      </w:r>
    </w:p>
    <w:p w:rsidR="00F539AD" w:rsidRDefault="00415CD3" w:rsidP="00415CD3">
      <w:pPr>
        <w:numPr>
          <w:ilvl w:val="0"/>
          <w:numId w:val="10"/>
        </w:numPr>
        <w:tabs>
          <w:tab w:val="left" w:pos="260"/>
        </w:tabs>
        <w:jc w:val="both"/>
      </w:pPr>
      <w:r>
        <w:rPr>
          <w:rFonts w:ascii="Arial" w:eastAsia="Arial" w:hAnsi="Arial" w:cs="Arial"/>
          <w:sz w:val="20"/>
          <w:szCs w:val="20"/>
        </w:rPr>
        <w:t>Elenco esami sostenuti con votazione e crediti;</w:t>
      </w:r>
    </w:p>
    <w:p w:rsidR="00F539AD" w:rsidRDefault="00415CD3" w:rsidP="00415CD3">
      <w:pPr>
        <w:numPr>
          <w:ilvl w:val="0"/>
          <w:numId w:val="10"/>
        </w:numPr>
        <w:tabs>
          <w:tab w:val="left" w:pos="226"/>
        </w:tabs>
        <w:jc w:val="both"/>
      </w:pPr>
      <w:r>
        <w:rPr>
          <w:rFonts w:ascii="Arial" w:eastAsia="Arial" w:hAnsi="Arial" w:cs="Arial"/>
          <w:sz w:val="20"/>
          <w:szCs w:val="20"/>
        </w:rPr>
        <w:t>Curriculum Vitae;</w:t>
      </w:r>
    </w:p>
    <w:p w:rsidR="00F539AD" w:rsidRDefault="00415CD3" w:rsidP="00415CD3">
      <w:pPr>
        <w:numPr>
          <w:ilvl w:val="0"/>
          <w:numId w:val="10"/>
        </w:numPr>
        <w:tabs>
          <w:tab w:val="left" w:pos="226"/>
        </w:tabs>
        <w:jc w:val="both"/>
      </w:pPr>
      <w:r>
        <w:rPr>
          <w:rFonts w:ascii="Arial" w:eastAsia="Arial" w:hAnsi="Arial" w:cs="Arial"/>
          <w:sz w:val="20"/>
          <w:szCs w:val="20"/>
        </w:rPr>
        <w:t>Fotocopia Carta Identità/Passaporto/Permesso di Soggiorno;</w:t>
      </w:r>
    </w:p>
    <w:p w:rsidR="00415CD3" w:rsidRDefault="00415CD3" w:rsidP="00415CD3">
      <w:pPr>
        <w:numPr>
          <w:ilvl w:val="0"/>
          <w:numId w:val="10"/>
        </w:numPr>
        <w:tabs>
          <w:tab w:val="left" w:pos="226"/>
        </w:tabs>
        <w:jc w:val="both"/>
      </w:pPr>
      <w:r>
        <w:rPr>
          <w:rFonts w:ascii="Arial" w:eastAsia="Arial" w:hAnsi="Arial" w:cs="Arial"/>
          <w:sz w:val="20"/>
          <w:szCs w:val="20"/>
        </w:rPr>
        <w:t>Eventuali Certificati linguistici;</w:t>
      </w:r>
    </w:p>
    <w:p w:rsidR="00F539AD" w:rsidRDefault="00415CD3" w:rsidP="00415CD3">
      <w:pPr>
        <w:numPr>
          <w:ilvl w:val="0"/>
          <w:numId w:val="10"/>
        </w:numPr>
        <w:tabs>
          <w:tab w:val="left" w:pos="226"/>
        </w:tabs>
        <w:jc w:val="both"/>
      </w:pPr>
      <w:r w:rsidRPr="00415CD3">
        <w:rPr>
          <w:rFonts w:ascii="Arial" w:eastAsia="Arial" w:hAnsi="Arial" w:cs="Arial"/>
          <w:sz w:val="20"/>
          <w:szCs w:val="20"/>
          <w:u w:val="single"/>
        </w:rPr>
        <w:t xml:space="preserve">SOLO PER GLI STUDENTI DELL’ACCADEMIA </w:t>
      </w:r>
      <w:proofErr w:type="spellStart"/>
      <w:r w:rsidRPr="00415CD3">
        <w:rPr>
          <w:rFonts w:ascii="Arial" w:eastAsia="Arial" w:hAnsi="Arial" w:cs="Arial"/>
          <w:sz w:val="20"/>
          <w:szCs w:val="20"/>
          <w:u w:val="single"/>
        </w:rPr>
        <w:t>DI</w:t>
      </w:r>
      <w:proofErr w:type="spellEnd"/>
      <w:r w:rsidRPr="00415CD3">
        <w:rPr>
          <w:rFonts w:ascii="Arial" w:eastAsia="Arial" w:hAnsi="Arial" w:cs="Arial"/>
          <w:sz w:val="20"/>
          <w:szCs w:val="20"/>
          <w:u w:val="single"/>
        </w:rPr>
        <w:t xml:space="preserve"> BELLE ARTI</w:t>
      </w:r>
      <w:r w:rsidRPr="00415CD3">
        <w:rPr>
          <w:rFonts w:ascii="Arial" w:eastAsia="Arial" w:hAnsi="Arial" w:cs="Arial"/>
          <w:sz w:val="20"/>
          <w:szCs w:val="20"/>
        </w:rPr>
        <w:t xml:space="preserve">: portfolio (digitale </w:t>
      </w:r>
      <w:proofErr w:type="spellStart"/>
      <w:r w:rsidRPr="00415CD3">
        <w:rPr>
          <w:rFonts w:ascii="Arial" w:eastAsia="Arial" w:hAnsi="Arial" w:cs="Arial"/>
          <w:sz w:val="20"/>
          <w:szCs w:val="20"/>
        </w:rPr>
        <w:t>max</w:t>
      </w:r>
      <w:proofErr w:type="spellEnd"/>
      <w:r w:rsidRPr="00415CD3">
        <w:rPr>
          <w:rFonts w:ascii="Arial" w:eastAsia="Arial" w:hAnsi="Arial" w:cs="Arial"/>
          <w:sz w:val="20"/>
          <w:szCs w:val="20"/>
        </w:rPr>
        <w:t xml:space="preserve"> MB 5 o cartaceo con dimensione massima di A4; non sono accettate chiavette USB; per contenuti video o multimediali si consiglia di caricare il materiale su </w:t>
      </w:r>
      <w:proofErr w:type="spellStart"/>
      <w:r w:rsidRPr="00415CD3">
        <w:rPr>
          <w:rFonts w:ascii="Arial" w:eastAsia="Arial" w:hAnsi="Arial" w:cs="Arial"/>
          <w:sz w:val="20"/>
          <w:szCs w:val="20"/>
        </w:rPr>
        <w:t>vimeo</w:t>
      </w:r>
      <w:proofErr w:type="spellEnd"/>
      <w:r w:rsidRPr="00415CD3">
        <w:rPr>
          <w:rFonts w:ascii="Arial" w:eastAsia="Arial" w:hAnsi="Arial" w:cs="Arial"/>
          <w:sz w:val="20"/>
          <w:szCs w:val="20"/>
        </w:rPr>
        <w:t xml:space="preserve">, </w:t>
      </w:r>
      <w:proofErr w:type="spellStart"/>
      <w:r w:rsidRPr="00415CD3">
        <w:rPr>
          <w:rFonts w:ascii="Arial" w:eastAsia="Arial" w:hAnsi="Arial" w:cs="Arial"/>
          <w:sz w:val="20"/>
          <w:szCs w:val="20"/>
        </w:rPr>
        <w:t>youtube</w:t>
      </w:r>
      <w:proofErr w:type="spellEnd"/>
      <w:r w:rsidRPr="00415CD3">
        <w:rPr>
          <w:rFonts w:ascii="Arial" w:eastAsia="Arial" w:hAnsi="Arial" w:cs="Arial"/>
          <w:sz w:val="20"/>
          <w:szCs w:val="20"/>
        </w:rPr>
        <w:t xml:space="preserve">, </w:t>
      </w:r>
      <w:proofErr w:type="spellStart"/>
      <w:r w:rsidRPr="00415CD3">
        <w:rPr>
          <w:rFonts w:ascii="Arial" w:eastAsia="Arial" w:hAnsi="Arial" w:cs="Arial"/>
          <w:sz w:val="20"/>
          <w:szCs w:val="20"/>
        </w:rPr>
        <w:t>flicker</w:t>
      </w:r>
      <w:proofErr w:type="spellEnd"/>
      <w:r w:rsidRPr="00415CD3">
        <w:rPr>
          <w:rFonts w:ascii="Arial" w:eastAsia="Arial" w:hAnsi="Arial" w:cs="Arial"/>
          <w:sz w:val="20"/>
          <w:szCs w:val="20"/>
        </w:rPr>
        <w:t xml:space="preserve"> e </w:t>
      </w:r>
      <w:proofErr w:type="spellStart"/>
      <w:r w:rsidRPr="00415CD3">
        <w:rPr>
          <w:rFonts w:ascii="Arial" w:eastAsia="Arial" w:hAnsi="Arial" w:cs="Arial"/>
          <w:sz w:val="20"/>
          <w:szCs w:val="20"/>
        </w:rPr>
        <w:t>tumblr</w:t>
      </w:r>
      <w:proofErr w:type="spellEnd"/>
      <w:r w:rsidRPr="00415CD3">
        <w:rPr>
          <w:rFonts w:ascii="Arial" w:eastAsia="Arial" w:hAnsi="Arial" w:cs="Arial"/>
          <w:sz w:val="20"/>
          <w:szCs w:val="20"/>
        </w:rPr>
        <w:t xml:space="preserve"> e di inserire i relativi link all’interno del portfolio).</w:t>
      </w:r>
    </w:p>
    <w:p w:rsidR="00F539AD" w:rsidRDefault="00415CD3">
      <w:pPr>
        <w:ind w:left="6"/>
        <w:jc w:val="both"/>
      </w:pPr>
      <w:r>
        <w:rPr>
          <w:rFonts w:ascii="Arial" w:eastAsia="Arial" w:hAnsi="Arial" w:cs="Arial"/>
          <w:b/>
          <w:bCs/>
          <w:sz w:val="20"/>
          <w:szCs w:val="20"/>
          <w:u w:val="single"/>
        </w:rPr>
        <w:t>PRESENTAZIONE DELLE CANDIDATURE</w:t>
      </w:r>
    </w:p>
    <w:p w:rsidR="00F539AD" w:rsidRDefault="00415CD3">
      <w:pPr>
        <w:spacing w:line="247" w:lineRule="auto"/>
        <w:ind w:left="6"/>
        <w:jc w:val="both"/>
      </w:pPr>
      <w:r>
        <w:rPr>
          <w:rFonts w:ascii="Arial" w:eastAsia="Arial" w:hAnsi="Arial" w:cs="Arial"/>
          <w:sz w:val="20"/>
          <w:szCs w:val="20"/>
        </w:rPr>
        <w:t xml:space="preserve">Il modulo per la candidatura, corredato degli allegati richiesti, deve essere inviato via </w:t>
      </w:r>
      <w:proofErr w:type="spellStart"/>
      <w:r>
        <w:rPr>
          <w:rFonts w:ascii="Arial" w:eastAsia="Arial" w:hAnsi="Arial" w:cs="Arial"/>
          <w:sz w:val="20"/>
          <w:szCs w:val="20"/>
        </w:rPr>
        <w:t>email</w:t>
      </w:r>
      <w:proofErr w:type="spellEnd"/>
      <w:r>
        <w:rPr>
          <w:rFonts w:ascii="Arial" w:eastAsia="Arial" w:hAnsi="Arial" w:cs="Arial"/>
          <w:sz w:val="20"/>
          <w:szCs w:val="20"/>
        </w:rPr>
        <w:t xml:space="preserve"> all'indirizzo </w:t>
      </w:r>
      <w:r>
        <w:rPr>
          <w:rFonts w:ascii="Arial" w:eastAsia="Arial" w:hAnsi="Arial" w:cs="Arial"/>
          <w:color w:val="0000FF"/>
          <w:sz w:val="20"/>
          <w:szCs w:val="20"/>
        </w:rPr>
        <w:t xml:space="preserve">bando-erasmus@accademiabellearti.bg.it </w:t>
      </w:r>
      <w:r>
        <w:rPr>
          <w:rFonts w:ascii="Arial" w:eastAsia="Arial" w:hAnsi="Arial" w:cs="Arial"/>
          <w:color w:val="000000"/>
          <w:sz w:val="20"/>
          <w:szCs w:val="20"/>
        </w:rPr>
        <w:t xml:space="preserve">(indicando nell’oggetto CANDIDATURA BANDO </w:t>
      </w:r>
      <w:proofErr w:type="spellStart"/>
      <w:r>
        <w:rPr>
          <w:rFonts w:ascii="Arial" w:eastAsia="Arial" w:hAnsi="Arial" w:cs="Arial"/>
          <w:color w:val="000000"/>
          <w:sz w:val="20"/>
          <w:szCs w:val="20"/>
        </w:rPr>
        <w:t>ERASMUS+</w:t>
      </w:r>
      <w:proofErr w:type="spellEnd"/>
      <w:r>
        <w:rPr>
          <w:rFonts w:ascii="Arial" w:eastAsia="Arial" w:hAnsi="Arial" w:cs="Arial"/>
          <w:color w:val="0000FF"/>
          <w:sz w:val="20"/>
          <w:szCs w:val="20"/>
        </w:rPr>
        <w:t xml:space="preserve"> </w:t>
      </w:r>
      <w:proofErr w:type="spellStart"/>
      <w:r w:rsidR="004B17A8">
        <w:rPr>
          <w:rFonts w:ascii="Arial" w:eastAsia="Arial" w:hAnsi="Arial" w:cs="Arial"/>
          <w:color w:val="000000"/>
          <w:sz w:val="20"/>
          <w:szCs w:val="20"/>
        </w:rPr>
        <w:t>call</w:t>
      </w:r>
      <w:proofErr w:type="spellEnd"/>
      <w:r w:rsidR="004B17A8">
        <w:rPr>
          <w:rFonts w:ascii="Arial" w:eastAsia="Arial" w:hAnsi="Arial" w:cs="Arial"/>
          <w:color w:val="000000"/>
          <w:sz w:val="20"/>
          <w:szCs w:val="20"/>
        </w:rPr>
        <w:t xml:space="preserve"> 2024</w:t>
      </w:r>
      <w:r>
        <w:rPr>
          <w:rFonts w:ascii="Arial" w:eastAsia="Arial" w:hAnsi="Arial" w:cs="Arial"/>
          <w:color w:val="000000"/>
          <w:sz w:val="20"/>
          <w:szCs w:val="20"/>
        </w:rPr>
        <w:t>).</w:t>
      </w:r>
    </w:p>
    <w:p w:rsidR="00F539AD" w:rsidRDefault="00415CD3">
      <w:pPr>
        <w:ind w:left="6"/>
        <w:jc w:val="both"/>
      </w:pPr>
      <w:r>
        <w:rPr>
          <w:rFonts w:ascii="Arial" w:eastAsia="Arial" w:hAnsi="Arial" w:cs="Arial"/>
          <w:sz w:val="20"/>
          <w:szCs w:val="20"/>
        </w:rPr>
        <w:t>Le candidature pervenute incomplete o oltre la scadenza saranno automaticamente escluse dal bando.</w:t>
      </w:r>
      <w:r>
        <w:rPr>
          <w:sz w:val="20"/>
          <w:szCs w:val="20"/>
        </w:rPr>
        <w:t xml:space="preserve"> </w:t>
      </w:r>
    </w:p>
    <w:p w:rsidR="00F539AD" w:rsidRDefault="00415CD3">
      <w:pPr>
        <w:ind w:left="6"/>
        <w:jc w:val="both"/>
      </w:pPr>
      <w:r>
        <w:rPr>
          <w:rFonts w:ascii="Arial" w:eastAsia="Arial" w:hAnsi="Arial" w:cs="Arial"/>
          <w:sz w:val="20"/>
          <w:szCs w:val="20"/>
        </w:rPr>
        <w:t xml:space="preserve">La data e l’elenco dei candidati risultati idonei verranno pubblicati alla pagina: </w:t>
      </w:r>
      <w:hyperlink r:id="rId8">
        <w:r>
          <w:rPr>
            <w:rStyle w:val="CollegamentoInternet"/>
            <w:rFonts w:ascii="Arial" w:eastAsia="Arial" w:hAnsi="Arial" w:cs="Arial"/>
            <w:color w:val="0000FF"/>
            <w:sz w:val="20"/>
            <w:szCs w:val="20"/>
          </w:rPr>
          <w:t>www.accademiabellearti.bg.it/erasmus/outgoing-students</w:t>
        </w:r>
      </w:hyperlink>
      <w:r>
        <w:rPr>
          <w:rFonts w:ascii="Arial" w:eastAsia="Arial" w:hAnsi="Arial" w:cs="Arial"/>
          <w:color w:val="0000FF"/>
          <w:sz w:val="20"/>
          <w:szCs w:val="20"/>
        </w:rPr>
        <w:t xml:space="preserve">. </w:t>
      </w:r>
      <w:r>
        <w:rPr>
          <w:rFonts w:ascii="Arial" w:eastAsia="Arial" w:hAnsi="Arial" w:cs="Arial"/>
          <w:sz w:val="20"/>
          <w:szCs w:val="20"/>
        </w:rPr>
        <w:t>La commissione stabilirà una graduatoria sulla base del merito (media riportata negli esami sostenuti e regolarità nel conseguimento dei crediti rispetto all’anno di iscrizione), delle competenze linguistiche</w:t>
      </w:r>
      <w:r w:rsidR="008D7C43">
        <w:rPr>
          <w:rFonts w:ascii="Arial" w:eastAsia="Arial" w:hAnsi="Arial" w:cs="Arial"/>
          <w:sz w:val="20"/>
          <w:szCs w:val="20"/>
        </w:rPr>
        <w:t>, delle competenze artistiche (tramite la valutazione del portfolio)</w:t>
      </w:r>
      <w:r>
        <w:rPr>
          <w:rFonts w:ascii="Arial" w:eastAsia="Arial" w:hAnsi="Arial" w:cs="Arial"/>
          <w:sz w:val="20"/>
          <w:szCs w:val="20"/>
        </w:rPr>
        <w:t xml:space="preserve"> e della motivazione personale.</w:t>
      </w:r>
    </w:p>
    <w:sectPr w:rsidR="00F539AD" w:rsidSect="00F539AD">
      <w:headerReference w:type="even" r:id="rId9"/>
      <w:headerReference w:type="default" r:id="rId10"/>
      <w:footerReference w:type="even" r:id="rId11"/>
      <w:footerReference w:type="default" r:id="rId12"/>
      <w:headerReference w:type="first" r:id="rId13"/>
      <w:footerReference w:type="first" r:id="rId14"/>
      <w:pgSz w:w="11906" w:h="16838"/>
      <w:pgMar w:top="851" w:right="851" w:bottom="908" w:left="851" w:header="765" w:footer="851"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6E" w:rsidRDefault="007F0A6E" w:rsidP="00F539AD">
      <w:pPr>
        <w:spacing w:after="0" w:line="240" w:lineRule="auto"/>
      </w:pPr>
      <w:r>
        <w:separator/>
      </w:r>
    </w:p>
  </w:endnote>
  <w:endnote w:type="continuationSeparator" w:id="0">
    <w:p w:rsidR="007F0A6E" w:rsidRDefault="007F0A6E" w:rsidP="00F53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D3" w:rsidRDefault="00415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D3" w:rsidRDefault="00415CD3">
    <w:pPr>
      <w:pStyle w:val="Footer"/>
    </w:pPr>
    <w:r>
      <w:rPr>
        <w:noProof/>
        <w:lang w:eastAsia="it-IT"/>
      </w:rPr>
      <w:drawing>
        <wp:inline distT="0" distB="0" distL="0" distR="0">
          <wp:extent cx="6480175" cy="800735"/>
          <wp:effectExtent l="0" t="0" r="0" b="0"/>
          <wp:docPr id="3"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2"/>
                  <pic:cNvPicPr>
                    <a:picLocks noChangeAspect="1" noChangeArrowheads="1"/>
                  </pic:cNvPicPr>
                </pic:nvPicPr>
                <pic:blipFill>
                  <a:blip r:embed="rId1"/>
                  <a:stretch>
                    <a:fillRect/>
                  </a:stretch>
                </pic:blipFill>
                <pic:spPr bwMode="auto">
                  <a:xfrm>
                    <a:off x="0" y="0"/>
                    <a:ext cx="6480175" cy="80073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D3" w:rsidRDefault="00415CD3">
    <w:pPr>
      <w:pStyle w:val="Footer"/>
    </w:pPr>
    <w:r>
      <w:rPr>
        <w:noProof/>
        <w:lang w:eastAsia="it-IT"/>
      </w:rPr>
      <w:drawing>
        <wp:inline distT="0" distB="0" distL="0" distR="0">
          <wp:extent cx="6480175" cy="800735"/>
          <wp:effectExtent l="0" t="0" r="0" b="0"/>
          <wp:docPr id="4"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2"/>
                  <pic:cNvPicPr>
                    <a:picLocks noChangeAspect="1" noChangeArrowheads="1"/>
                  </pic:cNvPicPr>
                </pic:nvPicPr>
                <pic:blipFill>
                  <a:blip r:embed="rId1"/>
                  <a:stretch>
                    <a:fillRect/>
                  </a:stretch>
                </pic:blipFill>
                <pic:spPr bwMode="auto">
                  <a:xfrm>
                    <a:off x="0" y="0"/>
                    <a:ext cx="6480175" cy="80073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6E" w:rsidRDefault="007F0A6E" w:rsidP="00F539AD">
      <w:pPr>
        <w:spacing w:after="0" w:line="240" w:lineRule="auto"/>
      </w:pPr>
      <w:r>
        <w:separator/>
      </w:r>
    </w:p>
  </w:footnote>
  <w:footnote w:type="continuationSeparator" w:id="0">
    <w:p w:rsidR="007F0A6E" w:rsidRDefault="007F0A6E" w:rsidP="00F53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D3" w:rsidRDefault="00415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D3" w:rsidRDefault="00415CD3">
    <w:pPr>
      <w:pStyle w:val="Header"/>
    </w:pPr>
    <w:r>
      <w:rPr>
        <w:noProof/>
        <w:lang w:eastAsia="it-IT"/>
      </w:rPr>
      <w:drawing>
        <wp:inline distT="0" distB="0" distL="0" distR="0">
          <wp:extent cx="6480175" cy="800735"/>
          <wp:effectExtent l="0" t="0" r="0" b="0"/>
          <wp:docPr id="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a:picLocks noChangeAspect="1" noChangeArrowheads="1"/>
                  </pic:cNvPicPr>
                </pic:nvPicPr>
                <pic:blipFill>
                  <a:blip r:embed="rId1"/>
                  <a:stretch>
                    <a:fillRect/>
                  </a:stretch>
                </pic:blipFill>
                <pic:spPr bwMode="auto">
                  <a:xfrm>
                    <a:off x="0" y="0"/>
                    <a:ext cx="6480175" cy="80073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D3" w:rsidRDefault="00415CD3">
    <w:pPr>
      <w:pStyle w:val="Header"/>
    </w:pPr>
    <w:r>
      <w:rPr>
        <w:noProof/>
        <w:lang w:eastAsia="it-IT"/>
      </w:rPr>
      <w:drawing>
        <wp:inline distT="0" distB="0" distL="0" distR="0">
          <wp:extent cx="6480175" cy="800735"/>
          <wp:effectExtent l="0" t="0" r="0" b="0"/>
          <wp:docPr id="2"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1"/>
                  <pic:cNvPicPr>
                    <a:picLocks noChangeAspect="1" noChangeArrowheads="1"/>
                  </pic:cNvPicPr>
                </pic:nvPicPr>
                <pic:blipFill>
                  <a:blip r:embed="rId1"/>
                  <a:stretch>
                    <a:fillRect/>
                  </a:stretch>
                </pic:blipFill>
                <pic:spPr bwMode="auto">
                  <a:xfrm>
                    <a:off x="0" y="0"/>
                    <a:ext cx="6480175" cy="8007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BF0"/>
    <w:multiLevelType w:val="multilevel"/>
    <w:tmpl w:val="038C5AA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A923F86"/>
    <w:multiLevelType w:val="multilevel"/>
    <w:tmpl w:val="5B8444E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0CA12562"/>
    <w:multiLevelType w:val="multilevel"/>
    <w:tmpl w:val="CCC41BC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1CDA7D71"/>
    <w:multiLevelType w:val="multilevel"/>
    <w:tmpl w:val="3A983696"/>
    <w:lvl w:ilvl="0">
      <w:start w:val="1"/>
      <w:numFmt w:val="bullet"/>
      <w:lvlText w:val="È"/>
      <w:lvlJc w:val="left"/>
      <w:pPr>
        <w:tabs>
          <w:tab w:val="num" w:pos="0"/>
        </w:tabs>
        <w:ind w:left="0" w:firstLine="0"/>
      </w:pPr>
      <w:rPr>
        <w:rFonts w:ascii="OpenSymbol" w:hAnsi="OpenSymbol" w:cs="Open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37C07C2C"/>
    <w:multiLevelType w:val="multilevel"/>
    <w:tmpl w:val="A658F70C"/>
    <w:lvl w:ilvl="0">
      <w:start w:val="1"/>
      <w:numFmt w:val="bullet"/>
      <w:lvlText w:val=""/>
      <w:lvlJc w:val="left"/>
      <w:pPr>
        <w:tabs>
          <w:tab w:val="num" w:pos="0"/>
        </w:tabs>
        <w:ind w:left="0" w:firstLine="0"/>
      </w:pPr>
      <w:rPr>
        <w:rFonts w:ascii="Symbol" w:hAnsi="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40303C84"/>
    <w:multiLevelType w:val="multilevel"/>
    <w:tmpl w:val="A658F70C"/>
    <w:lvl w:ilvl="0">
      <w:start w:val="1"/>
      <w:numFmt w:val="bullet"/>
      <w:lvlText w:val=""/>
      <w:lvlJc w:val="left"/>
      <w:pPr>
        <w:tabs>
          <w:tab w:val="num" w:pos="0"/>
        </w:tabs>
        <w:ind w:left="0" w:firstLine="0"/>
      </w:pPr>
      <w:rPr>
        <w:rFonts w:ascii="Symbol" w:hAnsi="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405F2FD0"/>
    <w:multiLevelType w:val="multilevel"/>
    <w:tmpl w:val="FE9EAAF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41E53B51"/>
    <w:multiLevelType w:val="multilevel"/>
    <w:tmpl w:val="80442920"/>
    <w:lvl w:ilvl="0">
      <w:start w:val="1"/>
      <w:numFmt w:val="bullet"/>
      <w:lvlText w:val="-"/>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5B505895"/>
    <w:multiLevelType w:val="multilevel"/>
    <w:tmpl w:val="0B9817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69396B56"/>
    <w:multiLevelType w:val="hybridMultilevel"/>
    <w:tmpl w:val="FBF0F32A"/>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10">
    <w:nsid w:val="7C441DBC"/>
    <w:multiLevelType w:val="multilevel"/>
    <w:tmpl w:val="C1264C04"/>
    <w:lvl w:ilvl="0">
      <w:start w:val="1"/>
      <w:numFmt w:val="decimal"/>
      <w:lvlText w:val="%1."/>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6"/>
  </w:num>
  <w:num w:numId="3">
    <w:abstractNumId w:val="2"/>
  </w:num>
  <w:num w:numId="4">
    <w:abstractNumId w:val="1"/>
  </w:num>
  <w:num w:numId="5">
    <w:abstractNumId w:val="7"/>
  </w:num>
  <w:num w:numId="6">
    <w:abstractNumId w:val="0"/>
  </w:num>
  <w:num w:numId="7">
    <w:abstractNumId w:val="10"/>
  </w:num>
  <w:num w:numId="8">
    <w:abstractNumId w:val="8"/>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footnotePr>
    <w:footnote w:id="-1"/>
    <w:footnote w:id="0"/>
  </w:footnotePr>
  <w:endnotePr>
    <w:endnote w:id="-1"/>
    <w:endnote w:id="0"/>
  </w:endnotePr>
  <w:compat/>
  <w:rsids>
    <w:rsidRoot w:val="00F539AD"/>
    <w:rsid w:val="001A584D"/>
    <w:rsid w:val="00411F94"/>
    <w:rsid w:val="00415CD3"/>
    <w:rsid w:val="00455E0D"/>
    <w:rsid w:val="004B17A8"/>
    <w:rsid w:val="007F0A6E"/>
    <w:rsid w:val="00827514"/>
    <w:rsid w:val="008D7C43"/>
    <w:rsid w:val="00CC52DD"/>
    <w:rsid w:val="00E36181"/>
    <w:rsid w:val="00F539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9A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8D4BE5"/>
  </w:style>
  <w:style w:type="character" w:customStyle="1" w:styleId="PidipaginaCarattere">
    <w:name w:val="Piè di pagina Carattere"/>
    <w:basedOn w:val="Carpredefinitoparagrafo"/>
    <w:link w:val="Footer"/>
    <w:uiPriority w:val="99"/>
    <w:qFormat/>
    <w:rsid w:val="008D4BE5"/>
  </w:style>
  <w:style w:type="character" w:customStyle="1" w:styleId="CollegamentoInternet">
    <w:name w:val="Collegamento Internet"/>
    <w:rsid w:val="00F539AD"/>
    <w:rPr>
      <w:color w:val="000080"/>
      <w:u w:val="single"/>
    </w:rPr>
  </w:style>
  <w:style w:type="paragraph" w:styleId="Titolo">
    <w:name w:val="Title"/>
    <w:basedOn w:val="Normale"/>
    <w:next w:val="Corpodeltesto"/>
    <w:qFormat/>
    <w:rsid w:val="00F539AD"/>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F539AD"/>
    <w:pPr>
      <w:spacing w:after="140" w:line="276" w:lineRule="auto"/>
    </w:pPr>
  </w:style>
  <w:style w:type="paragraph" w:styleId="Elenco">
    <w:name w:val="List"/>
    <w:basedOn w:val="Corpodeltesto"/>
    <w:rsid w:val="00F539AD"/>
    <w:rPr>
      <w:rFonts w:cs="Lucida Sans"/>
    </w:rPr>
  </w:style>
  <w:style w:type="paragraph" w:customStyle="1" w:styleId="Caption">
    <w:name w:val="Caption"/>
    <w:basedOn w:val="Normale"/>
    <w:qFormat/>
    <w:rsid w:val="00F539AD"/>
    <w:pPr>
      <w:suppressLineNumbers/>
      <w:spacing w:before="120" w:after="120"/>
    </w:pPr>
    <w:rPr>
      <w:rFonts w:cs="Lucida Sans"/>
      <w:i/>
      <w:iCs/>
      <w:sz w:val="24"/>
      <w:szCs w:val="24"/>
    </w:rPr>
  </w:style>
  <w:style w:type="paragraph" w:customStyle="1" w:styleId="Indice">
    <w:name w:val="Indice"/>
    <w:basedOn w:val="Normale"/>
    <w:qFormat/>
    <w:rsid w:val="00F539AD"/>
    <w:pPr>
      <w:suppressLineNumbers/>
    </w:pPr>
    <w:rPr>
      <w:rFonts w:cs="Lucida Sans"/>
    </w:rPr>
  </w:style>
  <w:style w:type="paragraph" w:customStyle="1" w:styleId="Intestazioneepidipagina">
    <w:name w:val="Intestazione e piè di pagina"/>
    <w:basedOn w:val="Normale"/>
    <w:qFormat/>
    <w:rsid w:val="00F539AD"/>
  </w:style>
  <w:style w:type="paragraph" w:customStyle="1" w:styleId="Header">
    <w:name w:val="Header"/>
    <w:basedOn w:val="Normale"/>
    <w:link w:val="IntestazioneCarattere"/>
    <w:uiPriority w:val="99"/>
    <w:unhideWhenUsed/>
    <w:rsid w:val="008D4BE5"/>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8D4BE5"/>
    <w:pPr>
      <w:tabs>
        <w:tab w:val="center" w:pos="4819"/>
        <w:tab w:val="right" w:pos="9638"/>
      </w:tabs>
      <w:spacing w:after="0" w:line="240" w:lineRule="auto"/>
    </w:pPr>
  </w:style>
  <w:style w:type="paragraph" w:customStyle="1" w:styleId="Default">
    <w:name w:val="Default"/>
    <w:qFormat/>
    <w:rsid w:val="00F539AD"/>
    <w:pPr>
      <w:spacing w:line="259" w:lineRule="auto"/>
    </w:pPr>
    <w:rPr>
      <w:rFonts w:ascii="Cambria" w:eastAsia="Calibri" w:hAnsi="Cambria" w:cs="Cambria"/>
      <w:color w:val="000000"/>
      <w:sz w:val="24"/>
      <w:szCs w:val="24"/>
    </w:rPr>
  </w:style>
  <w:style w:type="paragraph" w:styleId="Testofumetto">
    <w:name w:val="Balloon Text"/>
    <w:basedOn w:val="Normale"/>
    <w:link w:val="TestofumettoCarattere"/>
    <w:uiPriority w:val="99"/>
    <w:semiHidden/>
    <w:unhideWhenUsed/>
    <w:rsid w:val="00415C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CD3"/>
    <w:rPr>
      <w:rFonts w:ascii="Tahoma" w:hAnsi="Tahoma" w:cs="Tahoma"/>
      <w:sz w:val="16"/>
      <w:szCs w:val="16"/>
    </w:rPr>
  </w:style>
  <w:style w:type="paragraph" w:styleId="Paragrafoelenco">
    <w:name w:val="List Paragraph"/>
    <w:basedOn w:val="Normale"/>
    <w:uiPriority w:val="34"/>
    <w:qFormat/>
    <w:rsid w:val="00415CD3"/>
    <w:pPr>
      <w:ind w:left="720"/>
      <w:contextualSpacing/>
    </w:pPr>
  </w:style>
</w:styles>
</file>

<file path=word/webSettings.xml><?xml version="1.0" encoding="utf-8"?>
<w:webSettings xmlns:r="http://schemas.openxmlformats.org/officeDocument/2006/relationships" xmlns:w="http://schemas.openxmlformats.org/wordprocessingml/2006/main">
  <w:divs>
    <w:div w:id="3359907">
      <w:bodyDiv w:val="1"/>
      <w:marLeft w:val="0"/>
      <w:marRight w:val="0"/>
      <w:marTop w:val="0"/>
      <w:marBottom w:val="0"/>
      <w:divBdr>
        <w:top w:val="none" w:sz="0" w:space="0" w:color="auto"/>
        <w:left w:val="none" w:sz="0" w:space="0" w:color="auto"/>
        <w:bottom w:val="none" w:sz="0" w:space="0" w:color="auto"/>
        <w:right w:val="none" w:sz="0" w:space="0" w:color="auto"/>
      </w:divBdr>
    </w:div>
    <w:div w:id="206872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cademiabellearti.bg.it/erasmus/outgoing-stud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BB07-C658-4A38-9397-6C5CE46A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2864</TotalTime>
  <Pages>5</Pages>
  <Words>2109</Words>
  <Characters>12026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Plasmati</dc:creator>
  <dc:description/>
  <cp:lastModifiedBy>jennifer.facoetti</cp:lastModifiedBy>
  <cp:revision>12</cp:revision>
  <dcterms:created xsi:type="dcterms:W3CDTF">2023-01-18T16:51:00Z</dcterms:created>
  <dcterms:modified xsi:type="dcterms:W3CDTF">2024-05-30T07:48:00Z</dcterms:modified>
  <dc:language>it-IT</dc:language>
</cp:coreProperties>
</file>